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AD9DC" w14:textId="7C934BC2" w:rsidR="000F17D1" w:rsidRDefault="000F17D1" w:rsidP="000F17D1">
      <w:pPr>
        <w:rPr>
          <w:b/>
          <w:bCs/>
          <w:lang w:val="en-US" w:eastAsia="ja-JP"/>
        </w:rPr>
      </w:pPr>
      <w:r>
        <w:rPr>
          <w:rFonts w:hint="eastAsia"/>
          <w:b/>
          <w:bCs/>
          <w:lang w:val="en-US" w:eastAsia="ja-JP"/>
        </w:rPr>
        <w:t>【別紙１】</w:t>
      </w:r>
    </w:p>
    <w:p w14:paraId="1120D65F" w14:textId="77777777" w:rsidR="000F17D1" w:rsidRDefault="000F17D1" w:rsidP="000F17D1">
      <w:pPr>
        <w:rPr>
          <w:b/>
          <w:bCs/>
          <w:lang w:val="en-US" w:eastAsia="ja-JP"/>
        </w:rPr>
      </w:pPr>
    </w:p>
    <w:p w14:paraId="39D2E0F6" w14:textId="77777777" w:rsidR="000F17D1" w:rsidRDefault="000F17D1" w:rsidP="000F17D1">
      <w:pPr>
        <w:rPr>
          <w:b/>
          <w:bCs/>
          <w:lang w:val="en-US" w:eastAsia="ja-JP"/>
        </w:rPr>
      </w:pPr>
    </w:p>
    <w:p w14:paraId="53ECC4F7" w14:textId="47C665C4" w:rsidR="00A0583B" w:rsidRDefault="00863046" w:rsidP="00863046">
      <w:pPr>
        <w:jc w:val="center"/>
        <w:rPr>
          <w:b/>
          <w:bCs/>
          <w:lang w:val="en-US" w:eastAsia="ja-JP"/>
        </w:rPr>
      </w:pPr>
      <w:r w:rsidRPr="00863046">
        <w:rPr>
          <w:rFonts w:hint="eastAsia"/>
          <w:b/>
          <w:bCs/>
          <w:lang w:val="en-US" w:eastAsia="ja-JP"/>
        </w:rPr>
        <w:t>シンガポールにおける工事現場アートの制度について</w:t>
      </w:r>
    </w:p>
    <w:p w14:paraId="4FE7E150" w14:textId="77777777" w:rsidR="000F17D1" w:rsidRPr="00863046" w:rsidRDefault="000F17D1" w:rsidP="00863046">
      <w:pPr>
        <w:jc w:val="center"/>
        <w:rPr>
          <w:b/>
          <w:bCs/>
          <w:lang w:val="en-US" w:eastAsia="ja-JP"/>
        </w:rPr>
      </w:pPr>
    </w:p>
    <w:p w14:paraId="6E40812D" w14:textId="77777777" w:rsidR="00863046" w:rsidRDefault="00863046" w:rsidP="00863046">
      <w:pPr>
        <w:jc w:val="center"/>
        <w:rPr>
          <w:lang w:val="en-US" w:eastAsia="ja-JP"/>
        </w:rPr>
      </w:pPr>
    </w:p>
    <w:p w14:paraId="115F72C7" w14:textId="253D1304" w:rsidR="00863046" w:rsidRPr="00863046" w:rsidRDefault="00863046" w:rsidP="00863046">
      <w:pPr>
        <w:pStyle w:val="a9"/>
        <w:numPr>
          <w:ilvl w:val="0"/>
          <w:numId w:val="1"/>
        </w:numPr>
        <w:rPr>
          <w:b/>
          <w:bCs/>
          <w:lang w:val="en-US" w:eastAsia="ja-JP"/>
        </w:rPr>
      </w:pPr>
      <w:r w:rsidRPr="00863046">
        <w:rPr>
          <w:rFonts w:hint="eastAsia"/>
          <w:b/>
          <w:bCs/>
          <w:lang w:val="en-US" w:eastAsia="ja-JP"/>
        </w:rPr>
        <w:t>背景</w:t>
      </w:r>
    </w:p>
    <w:p w14:paraId="72586B4D" w14:textId="77777777" w:rsidR="00863046" w:rsidRDefault="00863046" w:rsidP="00863046">
      <w:pPr>
        <w:pStyle w:val="a9"/>
        <w:rPr>
          <w:lang w:val="en-US" w:eastAsia="ja-JP"/>
        </w:rPr>
      </w:pPr>
    </w:p>
    <w:p w14:paraId="3F81E3B1" w14:textId="5F939DCE" w:rsidR="000562EA" w:rsidRDefault="000562EA" w:rsidP="00F11731">
      <w:pPr>
        <w:pStyle w:val="a9"/>
        <w:jc w:val="both"/>
        <w:rPr>
          <w:lang w:val="en-US" w:eastAsia="ja-JP"/>
        </w:rPr>
      </w:pPr>
      <w:r>
        <w:rPr>
          <w:rFonts w:hint="eastAsia"/>
          <w:lang w:val="en-US" w:eastAsia="ja-JP"/>
        </w:rPr>
        <w:t xml:space="preserve">　</w:t>
      </w:r>
      <w:r w:rsidR="00863046">
        <w:rPr>
          <w:rFonts w:hint="eastAsia"/>
          <w:lang w:val="en-US" w:eastAsia="ja-JP"/>
        </w:rPr>
        <w:t>シンガポールは都市国家である</w:t>
      </w:r>
      <w:r w:rsidR="002755D0">
        <w:rPr>
          <w:rFonts w:hint="eastAsia"/>
          <w:lang w:val="en-US" w:eastAsia="ja-JP"/>
        </w:rPr>
        <w:t>ため</w:t>
      </w:r>
      <w:r w:rsidR="00863046">
        <w:rPr>
          <w:rFonts w:hint="eastAsia"/>
          <w:lang w:val="en-US" w:eastAsia="ja-JP"/>
        </w:rPr>
        <w:t>、限られた国土面積の有効利用</w:t>
      </w:r>
      <w:r w:rsidR="002755D0">
        <w:rPr>
          <w:rFonts w:hint="eastAsia"/>
          <w:lang w:val="en-US" w:eastAsia="ja-JP"/>
        </w:rPr>
        <w:t>すること</w:t>
      </w:r>
      <w:r w:rsidR="00863046">
        <w:rPr>
          <w:rFonts w:hint="eastAsia"/>
          <w:lang w:val="en-US" w:eastAsia="ja-JP"/>
        </w:rPr>
        <w:t>は政府が都市開発計画を策定する</w:t>
      </w:r>
      <w:r w:rsidR="002755D0">
        <w:rPr>
          <w:rFonts w:hint="eastAsia"/>
          <w:lang w:val="en-US" w:eastAsia="ja-JP"/>
        </w:rPr>
        <w:t>上で</w:t>
      </w:r>
      <w:r w:rsidR="00863046">
        <w:rPr>
          <w:rFonts w:hint="eastAsia"/>
          <w:lang w:val="en-US" w:eastAsia="ja-JP"/>
        </w:rPr>
        <w:t>の至上命題である。同時に、政府は</w:t>
      </w:r>
      <w:r>
        <w:rPr>
          <w:rFonts w:hint="eastAsia"/>
          <w:lang w:val="en-US" w:eastAsia="ja-JP"/>
        </w:rPr>
        <w:t>独立した当初から</w:t>
      </w:r>
      <w:r w:rsidR="00863046">
        <w:rPr>
          <w:rFonts w:hint="eastAsia"/>
          <w:lang w:val="en-US" w:eastAsia="ja-JP"/>
        </w:rPr>
        <w:t>都市の景観を重要視しており、都市部の景観を維持する</w:t>
      </w:r>
      <w:r>
        <w:rPr>
          <w:rFonts w:hint="eastAsia"/>
          <w:lang w:val="en-US" w:eastAsia="ja-JP"/>
        </w:rPr>
        <w:t>ために</w:t>
      </w:r>
      <w:r w:rsidR="00863046">
        <w:rPr>
          <w:rFonts w:hint="eastAsia"/>
          <w:lang w:val="en-US" w:eastAsia="ja-JP"/>
        </w:rPr>
        <w:t>各種の規制</w:t>
      </w:r>
      <w:r w:rsidR="002755D0">
        <w:rPr>
          <w:rFonts w:hint="eastAsia"/>
          <w:lang w:val="en-US" w:eastAsia="ja-JP"/>
        </w:rPr>
        <w:t>定めた</w:t>
      </w:r>
      <w:r w:rsidR="00863046">
        <w:rPr>
          <w:rFonts w:hint="eastAsia"/>
          <w:lang w:val="en-US" w:eastAsia="ja-JP"/>
        </w:rPr>
        <w:t>。</w:t>
      </w:r>
      <w:r w:rsidR="00F11731">
        <w:rPr>
          <w:rFonts w:hint="eastAsia"/>
          <w:lang w:val="en-US" w:eastAsia="ja-JP"/>
        </w:rPr>
        <w:t>2002</w:t>
      </w:r>
      <w:r w:rsidR="00F11731">
        <w:rPr>
          <w:rFonts w:hint="eastAsia"/>
          <w:lang w:val="en-US" w:eastAsia="ja-JP"/>
        </w:rPr>
        <w:t>年</w:t>
      </w:r>
      <w:r w:rsidR="00F11731">
        <w:rPr>
          <w:rFonts w:hint="eastAsia"/>
          <w:lang w:val="en-US" w:eastAsia="ja-JP"/>
        </w:rPr>
        <w:t>9</w:t>
      </w:r>
      <w:r w:rsidR="00F11731">
        <w:rPr>
          <w:rFonts w:hint="eastAsia"/>
          <w:lang w:val="en-US" w:eastAsia="ja-JP"/>
        </w:rPr>
        <w:t>月</w:t>
      </w:r>
      <w:r w:rsidR="00F11731">
        <w:rPr>
          <w:rFonts w:hint="eastAsia"/>
          <w:lang w:val="en-US" w:eastAsia="ja-JP"/>
        </w:rPr>
        <w:t>16</w:t>
      </w:r>
      <w:r w:rsidR="00F11731">
        <w:rPr>
          <w:rFonts w:hint="eastAsia"/>
          <w:lang w:val="en-US" w:eastAsia="ja-JP"/>
        </w:rPr>
        <w:t>日付</w:t>
      </w:r>
      <w:r w:rsidR="002755D0">
        <w:rPr>
          <w:rFonts w:hint="eastAsia"/>
          <w:lang w:val="en-US" w:eastAsia="ja-JP"/>
        </w:rPr>
        <w:t>で施行された</w:t>
      </w:r>
      <w:r w:rsidR="00F11731">
        <w:rPr>
          <w:rFonts w:hint="eastAsia"/>
          <w:lang w:val="en-US" w:eastAsia="ja-JP"/>
        </w:rPr>
        <w:t>「建築物管理法（屋外広告物）」</w:t>
      </w:r>
      <w:r>
        <w:rPr>
          <w:rFonts w:hint="eastAsia"/>
          <w:lang w:val="en-US" w:eastAsia="ja-JP"/>
        </w:rPr>
        <w:t>（</w:t>
      </w:r>
      <w:r>
        <w:rPr>
          <w:lang w:val="en-US" w:eastAsia="ja-JP"/>
        </w:rPr>
        <w:t>Building Control (Outdoor Advertising) Regulations</w:t>
      </w:r>
      <w:r>
        <w:rPr>
          <w:rFonts w:hint="eastAsia"/>
          <w:lang w:val="en-US" w:eastAsia="ja-JP"/>
        </w:rPr>
        <w:t>）</w:t>
      </w:r>
      <w:r w:rsidR="002755D0">
        <w:rPr>
          <w:rFonts w:hint="eastAsia"/>
          <w:lang w:val="en-US" w:eastAsia="ja-JP"/>
        </w:rPr>
        <w:t>では</w:t>
      </w:r>
      <w:r w:rsidR="00F11731">
        <w:rPr>
          <w:rFonts w:hint="eastAsia"/>
          <w:lang w:val="en-US" w:eastAsia="ja-JP"/>
        </w:rPr>
        <w:t>、都市部における屋外広告物の掲出</w:t>
      </w:r>
      <w:r w:rsidR="002755D0">
        <w:rPr>
          <w:rFonts w:hint="eastAsia"/>
          <w:lang w:val="en-US" w:eastAsia="ja-JP"/>
        </w:rPr>
        <w:t>、中でも</w:t>
      </w:r>
      <w:r w:rsidR="00F11731">
        <w:rPr>
          <w:rFonts w:hint="eastAsia"/>
          <w:lang w:val="en-US" w:eastAsia="ja-JP"/>
        </w:rPr>
        <w:t>広告物の</w:t>
      </w:r>
      <w:r>
        <w:rPr>
          <w:rFonts w:hint="eastAsia"/>
          <w:lang w:val="en-US" w:eastAsia="ja-JP"/>
        </w:rPr>
        <w:t>規模</w:t>
      </w:r>
      <w:r w:rsidR="00F11731">
        <w:rPr>
          <w:rFonts w:hint="eastAsia"/>
          <w:lang w:val="en-US" w:eastAsia="ja-JP"/>
        </w:rPr>
        <w:t>や掲出場所について詳細を定めた。</w:t>
      </w:r>
    </w:p>
    <w:p w14:paraId="6F8BD517" w14:textId="77777777" w:rsidR="000562EA" w:rsidRDefault="000562EA" w:rsidP="00F11731">
      <w:pPr>
        <w:pStyle w:val="a9"/>
        <w:jc w:val="both"/>
        <w:rPr>
          <w:lang w:val="en-US" w:eastAsia="ja-JP"/>
        </w:rPr>
      </w:pPr>
    </w:p>
    <w:p w14:paraId="7BBF2B43" w14:textId="3ED37D80" w:rsidR="00863046" w:rsidRDefault="000562EA" w:rsidP="00F11731">
      <w:pPr>
        <w:pStyle w:val="a9"/>
        <w:jc w:val="both"/>
        <w:rPr>
          <w:lang w:val="en-US" w:eastAsia="ja-JP"/>
        </w:rPr>
      </w:pPr>
      <w:r>
        <w:rPr>
          <w:rFonts w:hint="eastAsia"/>
          <w:lang w:val="en-US" w:eastAsia="ja-JP"/>
        </w:rPr>
        <w:t xml:space="preserve">　その後</w:t>
      </w:r>
      <w:r w:rsidR="00F11731">
        <w:rPr>
          <w:rFonts w:hint="eastAsia"/>
          <w:lang w:val="en-US" w:eastAsia="ja-JP"/>
        </w:rPr>
        <w:t>、</w:t>
      </w:r>
      <w:r>
        <w:rPr>
          <w:rFonts w:hint="eastAsia"/>
          <w:lang w:val="en-US" w:eastAsia="ja-JP"/>
        </w:rPr>
        <w:t>時代の変遷がもたら</w:t>
      </w:r>
      <w:r w:rsidR="002755D0">
        <w:rPr>
          <w:rFonts w:hint="eastAsia"/>
          <w:lang w:val="en-US" w:eastAsia="ja-JP"/>
        </w:rPr>
        <w:t>す</w:t>
      </w:r>
      <w:r>
        <w:rPr>
          <w:rFonts w:hint="eastAsia"/>
          <w:lang w:val="en-US" w:eastAsia="ja-JP"/>
        </w:rPr>
        <w:t>都市景観の変化に一層対応できるよう、</w:t>
      </w:r>
      <w:r w:rsidR="00F11731">
        <w:rPr>
          <w:rFonts w:hint="eastAsia"/>
          <w:lang w:val="en-US" w:eastAsia="ja-JP"/>
        </w:rPr>
        <w:t>シンガポール都市再開発庁</w:t>
      </w:r>
      <w:r w:rsidR="00F11731">
        <w:rPr>
          <w:lang w:val="en-US" w:eastAsia="ja-JP"/>
        </w:rPr>
        <w:t>(Urban Redevelopment Authority, URA)</w:t>
      </w:r>
      <w:r w:rsidR="00F11731">
        <w:rPr>
          <w:rFonts w:hint="eastAsia"/>
          <w:lang w:val="en-US" w:eastAsia="ja-JP"/>
        </w:rPr>
        <w:t>は</w:t>
      </w:r>
      <w:r w:rsidR="002C2C4B">
        <w:rPr>
          <w:rFonts w:hint="eastAsia"/>
          <w:lang w:val="en-US" w:eastAsia="ja-JP"/>
        </w:rPr>
        <w:t>2009</w:t>
      </w:r>
      <w:r w:rsidR="002C2C4B">
        <w:rPr>
          <w:rFonts w:hint="eastAsia"/>
          <w:lang w:val="en-US" w:eastAsia="ja-JP"/>
        </w:rPr>
        <w:t>年</w:t>
      </w:r>
      <w:r w:rsidR="002C2C4B">
        <w:rPr>
          <w:rFonts w:hint="eastAsia"/>
          <w:lang w:val="en-US" w:eastAsia="ja-JP"/>
        </w:rPr>
        <w:t>9</w:t>
      </w:r>
      <w:r w:rsidR="002C2C4B">
        <w:rPr>
          <w:rFonts w:hint="eastAsia"/>
          <w:lang w:val="en-US" w:eastAsia="ja-JP"/>
        </w:rPr>
        <w:t>月</w:t>
      </w:r>
      <w:r w:rsidR="002C2C4B">
        <w:rPr>
          <w:rFonts w:hint="eastAsia"/>
          <w:lang w:val="en-US" w:eastAsia="ja-JP"/>
        </w:rPr>
        <w:t>14</w:t>
      </w:r>
      <w:r w:rsidR="002C2C4B">
        <w:rPr>
          <w:rFonts w:hint="eastAsia"/>
          <w:lang w:val="en-US" w:eastAsia="ja-JP"/>
        </w:rPr>
        <w:t>日付で</w:t>
      </w:r>
      <w:r>
        <w:rPr>
          <w:rFonts w:hint="eastAsia"/>
          <w:lang w:val="en-US" w:eastAsia="ja-JP"/>
        </w:rPr>
        <w:t>「都市部における屋外掲出物のガイドライン（</w:t>
      </w:r>
      <w:r>
        <w:rPr>
          <w:lang w:val="en-US" w:eastAsia="ja-JP"/>
        </w:rPr>
        <w:t>Guidelines for Outdoor Signs in the Central Area</w:t>
      </w:r>
      <w:r>
        <w:rPr>
          <w:rFonts w:hint="eastAsia"/>
          <w:lang w:val="en-US" w:eastAsia="ja-JP"/>
        </w:rPr>
        <w:t>）」を</w:t>
      </w:r>
      <w:r w:rsidR="002755D0">
        <w:rPr>
          <w:rFonts w:hint="eastAsia"/>
          <w:lang w:val="en-US" w:eastAsia="ja-JP"/>
        </w:rPr>
        <w:t>施行</w:t>
      </w:r>
      <w:r>
        <w:rPr>
          <w:rFonts w:hint="eastAsia"/>
          <w:lang w:val="en-US" w:eastAsia="ja-JP"/>
        </w:rPr>
        <w:t>し、</w:t>
      </w:r>
      <w:r w:rsidR="00BF49C6">
        <w:rPr>
          <w:rFonts w:hint="eastAsia"/>
          <w:lang w:val="en-US" w:eastAsia="ja-JP"/>
        </w:rPr>
        <w:t>表</w:t>
      </w:r>
      <w:r w:rsidR="002755D0">
        <w:rPr>
          <w:rFonts w:hint="eastAsia"/>
          <w:lang w:val="en-US" w:eastAsia="ja-JP"/>
        </w:rPr>
        <w:t>３</w:t>
      </w:r>
      <w:r w:rsidR="00BF49C6">
        <w:rPr>
          <w:rFonts w:hint="eastAsia"/>
          <w:lang w:val="en-US" w:eastAsia="ja-JP"/>
        </w:rPr>
        <w:t>第１項</w:t>
      </w:r>
      <w:r w:rsidR="001A00A8">
        <w:rPr>
          <w:rFonts w:hint="eastAsia"/>
          <w:lang w:val="en-US" w:eastAsia="ja-JP"/>
        </w:rPr>
        <w:t>で</w:t>
      </w:r>
      <w:r>
        <w:rPr>
          <w:rFonts w:hint="eastAsia"/>
          <w:lang w:val="en-US" w:eastAsia="ja-JP"/>
        </w:rPr>
        <w:t>「アートの要素を兼ねた掲出物」</w:t>
      </w:r>
      <w:r w:rsidR="001A00A8">
        <w:rPr>
          <w:rFonts w:hint="eastAsia"/>
          <w:lang w:val="en-US" w:eastAsia="ja-JP"/>
        </w:rPr>
        <w:t>について</w:t>
      </w:r>
      <w:r w:rsidR="00A06585">
        <w:rPr>
          <w:rFonts w:hint="eastAsia"/>
          <w:lang w:val="en-US" w:eastAsia="ja-JP"/>
        </w:rPr>
        <w:t>はじめて言及し、</w:t>
      </w:r>
      <w:r>
        <w:rPr>
          <w:rFonts w:hint="eastAsia"/>
          <w:lang w:val="en-US" w:eastAsia="ja-JP"/>
        </w:rPr>
        <w:t>「政府は</w:t>
      </w:r>
      <w:r w:rsidR="00A06585">
        <w:rPr>
          <w:rFonts w:hint="eastAsia"/>
          <w:lang w:val="en-US" w:eastAsia="ja-JP"/>
        </w:rPr>
        <w:t>、</w:t>
      </w:r>
      <w:r>
        <w:rPr>
          <w:rFonts w:hint="eastAsia"/>
          <w:lang w:val="en-US" w:eastAsia="ja-JP"/>
        </w:rPr>
        <w:t>個別のケースに応じて</w:t>
      </w:r>
      <w:r w:rsidR="00BF49C6">
        <w:rPr>
          <w:rFonts w:hint="eastAsia"/>
          <w:lang w:val="en-US" w:eastAsia="ja-JP"/>
        </w:rPr>
        <w:t>屋外の公共空間でデザイン性に富んだ対象物の掲出を許可する方針であり、</w:t>
      </w:r>
      <w:r w:rsidR="00A06585">
        <w:rPr>
          <w:rFonts w:hint="eastAsia"/>
          <w:lang w:val="en-US" w:eastAsia="ja-JP"/>
        </w:rPr>
        <w:t>そ</w:t>
      </w:r>
      <w:r w:rsidR="00BF49C6">
        <w:rPr>
          <w:rFonts w:hint="eastAsia"/>
          <w:lang w:val="en-US" w:eastAsia="ja-JP"/>
        </w:rPr>
        <w:t>の対象物は広告の要素を</w:t>
      </w:r>
      <w:r w:rsidR="001A00A8">
        <w:rPr>
          <w:rFonts w:hint="eastAsia"/>
          <w:lang w:val="en-US" w:eastAsia="ja-JP"/>
        </w:rPr>
        <w:t>含んではなら</w:t>
      </w:r>
      <w:r w:rsidR="00BF49C6">
        <w:rPr>
          <w:rFonts w:hint="eastAsia"/>
          <w:lang w:val="en-US" w:eastAsia="ja-JP"/>
        </w:rPr>
        <w:t>ず、</w:t>
      </w:r>
      <w:r w:rsidR="00A06585">
        <w:rPr>
          <w:rFonts w:hint="eastAsia"/>
          <w:lang w:val="en-US" w:eastAsia="ja-JP"/>
        </w:rPr>
        <w:t>２</w:t>
      </w:r>
      <w:r w:rsidR="00BF49C6">
        <w:rPr>
          <w:rFonts w:hint="eastAsia"/>
          <w:lang w:val="en-US" w:eastAsia="ja-JP"/>
        </w:rPr>
        <w:t>次元</w:t>
      </w:r>
      <w:r w:rsidR="00A06585">
        <w:rPr>
          <w:rFonts w:hint="eastAsia"/>
          <w:lang w:val="en-US" w:eastAsia="ja-JP"/>
        </w:rPr>
        <w:t>又は３</w:t>
      </w:r>
      <w:r w:rsidR="00BF49C6">
        <w:rPr>
          <w:rFonts w:hint="eastAsia"/>
          <w:lang w:val="en-US" w:eastAsia="ja-JP"/>
        </w:rPr>
        <w:t>次元でなければいけない」と記載</w:t>
      </w:r>
      <w:r w:rsidR="00A06585">
        <w:rPr>
          <w:rFonts w:hint="eastAsia"/>
          <w:lang w:val="en-US" w:eastAsia="ja-JP"/>
        </w:rPr>
        <w:t>し</w:t>
      </w:r>
      <w:r w:rsidR="00BF49C6">
        <w:rPr>
          <w:rFonts w:hint="eastAsia"/>
          <w:lang w:val="en-US" w:eastAsia="ja-JP"/>
        </w:rPr>
        <w:t>た。また、表３第５項では、工事現場の掲出物について</w:t>
      </w:r>
      <w:r w:rsidR="00A06585">
        <w:rPr>
          <w:rFonts w:hint="eastAsia"/>
          <w:lang w:val="en-US" w:eastAsia="ja-JP"/>
        </w:rPr>
        <w:t>言及し、</w:t>
      </w:r>
      <w:r w:rsidR="00BF49C6">
        <w:rPr>
          <w:rFonts w:hint="eastAsia"/>
          <w:lang w:val="en-US" w:eastAsia="ja-JP"/>
        </w:rPr>
        <w:t>「工事現場では、事業と関わる情報を掲載す</w:t>
      </w:r>
      <w:r w:rsidR="001A00A8">
        <w:rPr>
          <w:rFonts w:hint="eastAsia"/>
          <w:lang w:val="en-US" w:eastAsia="ja-JP"/>
        </w:rPr>
        <w:t>る</w:t>
      </w:r>
      <w:r w:rsidR="00D37B47">
        <w:rPr>
          <w:rFonts w:hint="eastAsia"/>
          <w:lang w:val="en-US" w:eastAsia="ja-JP"/>
        </w:rPr>
        <w:t>掲出物は</w:t>
      </w:r>
      <w:r w:rsidR="001A00A8">
        <w:rPr>
          <w:rFonts w:hint="eastAsia"/>
          <w:lang w:val="en-US" w:eastAsia="ja-JP"/>
        </w:rPr>
        <w:t>許可</w:t>
      </w:r>
      <w:r w:rsidR="00D37B47">
        <w:rPr>
          <w:rFonts w:hint="eastAsia"/>
          <w:lang w:val="en-US" w:eastAsia="ja-JP"/>
        </w:rPr>
        <w:t>される</w:t>
      </w:r>
      <w:r w:rsidR="001A00A8">
        <w:rPr>
          <w:rFonts w:hint="eastAsia"/>
          <w:lang w:val="en-US" w:eastAsia="ja-JP"/>
        </w:rPr>
        <w:t>が</w:t>
      </w:r>
      <w:r w:rsidR="00D37B47">
        <w:rPr>
          <w:rFonts w:hint="eastAsia"/>
          <w:lang w:val="en-US" w:eastAsia="ja-JP"/>
        </w:rPr>
        <w:t>、広告的な要素を</w:t>
      </w:r>
      <w:r w:rsidR="001A00A8">
        <w:rPr>
          <w:rFonts w:hint="eastAsia"/>
          <w:lang w:val="en-US" w:eastAsia="ja-JP"/>
        </w:rPr>
        <w:t>含んで</w:t>
      </w:r>
      <w:r w:rsidR="00D37B47">
        <w:rPr>
          <w:rFonts w:hint="eastAsia"/>
          <w:lang w:val="en-US" w:eastAsia="ja-JP"/>
        </w:rPr>
        <w:t>は</w:t>
      </w:r>
      <w:r w:rsidR="001A00A8">
        <w:rPr>
          <w:rFonts w:hint="eastAsia"/>
          <w:lang w:val="en-US" w:eastAsia="ja-JP"/>
        </w:rPr>
        <w:t>ならない</w:t>
      </w:r>
      <w:r w:rsidR="00D37B47">
        <w:rPr>
          <w:rFonts w:hint="eastAsia"/>
          <w:lang w:val="en-US" w:eastAsia="ja-JP"/>
        </w:rPr>
        <w:t>」と</w:t>
      </w:r>
      <w:r w:rsidR="00A06585">
        <w:rPr>
          <w:rFonts w:hint="eastAsia"/>
          <w:lang w:val="en-US" w:eastAsia="ja-JP"/>
        </w:rPr>
        <w:t>記載した</w:t>
      </w:r>
      <w:r w:rsidR="00D37B47">
        <w:rPr>
          <w:rFonts w:hint="eastAsia"/>
          <w:lang w:val="en-US" w:eastAsia="ja-JP"/>
        </w:rPr>
        <w:t>。</w:t>
      </w:r>
    </w:p>
    <w:p w14:paraId="66946366" w14:textId="77777777" w:rsidR="00D37B47" w:rsidRDefault="00D37B47" w:rsidP="00F11731">
      <w:pPr>
        <w:pStyle w:val="a9"/>
        <w:jc w:val="both"/>
        <w:rPr>
          <w:lang w:val="en-US" w:eastAsia="ja-JP"/>
        </w:rPr>
      </w:pPr>
    </w:p>
    <w:p w14:paraId="1BE014BF" w14:textId="05772DD3" w:rsidR="00D37B47" w:rsidRDefault="00D37B47" w:rsidP="00F11731">
      <w:pPr>
        <w:pStyle w:val="a9"/>
        <w:jc w:val="both"/>
        <w:rPr>
          <w:lang w:val="en-US" w:eastAsia="ja-JP"/>
        </w:rPr>
      </w:pPr>
      <w:r>
        <w:rPr>
          <w:rFonts w:hint="eastAsia"/>
          <w:lang w:val="en-US" w:eastAsia="ja-JP"/>
        </w:rPr>
        <w:t xml:space="preserve">　シンガポール政府は公共空間での芸術品の展示</w:t>
      </w:r>
      <w:r w:rsidR="005A25F8">
        <w:rPr>
          <w:rFonts w:hint="eastAsia"/>
          <w:lang w:val="en-US" w:eastAsia="ja-JP"/>
        </w:rPr>
        <w:t>について</w:t>
      </w:r>
      <w:r>
        <w:rPr>
          <w:rFonts w:hint="eastAsia"/>
          <w:lang w:val="en-US" w:eastAsia="ja-JP"/>
        </w:rPr>
        <w:t>奨励する方針</w:t>
      </w:r>
      <w:r w:rsidR="005A25F8">
        <w:rPr>
          <w:rFonts w:hint="eastAsia"/>
          <w:lang w:val="en-US" w:eastAsia="ja-JP"/>
        </w:rPr>
        <w:t>を示しており、</w:t>
      </w:r>
      <w:r>
        <w:rPr>
          <w:rFonts w:hint="eastAsia"/>
          <w:lang w:val="en-US" w:eastAsia="ja-JP"/>
        </w:rPr>
        <w:t>2005</w:t>
      </w:r>
      <w:r>
        <w:rPr>
          <w:rFonts w:hint="eastAsia"/>
          <w:lang w:val="en-US" w:eastAsia="ja-JP"/>
        </w:rPr>
        <w:t>年</w:t>
      </w:r>
      <w:r>
        <w:rPr>
          <w:rFonts w:hint="eastAsia"/>
          <w:lang w:val="en-US" w:eastAsia="ja-JP"/>
        </w:rPr>
        <w:t>9</w:t>
      </w:r>
      <w:r>
        <w:rPr>
          <w:rFonts w:hint="eastAsia"/>
          <w:lang w:val="en-US" w:eastAsia="ja-JP"/>
        </w:rPr>
        <w:t>月</w:t>
      </w:r>
      <w:r>
        <w:rPr>
          <w:rFonts w:hint="eastAsia"/>
          <w:lang w:val="en-US" w:eastAsia="ja-JP"/>
        </w:rPr>
        <w:t>5</w:t>
      </w:r>
      <w:r>
        <w:rPr>
          <w:rFonts w:hint="eastAsia"/>
          <w:lang w:val="en-US" w:eastAsia="ja-JP"/>
        </w:rPr>
        <w:t>日に</w:t>
      </w:r>
      <w:r w:rsidR="005A25F8">
        <w:rPr>
          <w:rFonts w:hint="eastAsia"/>
          <w:lang w:val="en-US" w:eastAsia="ja-JP"/>
        </w:rPr>
        <w:t>は</w:t>
      </w:r>
      <w:r>
        <w:rPr>
          <w:rFonts w:hint="eastAsia"/>
          <w:lang w:val="en-US" w:eastAsia="ja-JP"/>
        </w:rPr>
        <w:t>「都市部における芸術品の展示に関する</w:t>
      </w:r>
      <w:r w:rsidR="005A25F8">
        <w:rPr>
          <w:rFonts w:hint="eastAsia"/>
          <w:lang w:val="en-US" w:eastAsia="ja-JP"/>
        </w:rPr>
        <w:t>優遇措置</w:t>
      </w:r>
      <w:r>
        <w:rPr>
          <w:rFonts w:hint="eastAsia"/>
          <w:lang w:val="en-US" w:eastAsia="ja-JP"/>
        </w:rPr>
        <w:t xml:space="preserve"> </w:t>
      </w:r>
      <w:r>
        <w:rPr>
          <w:lang w:val="en-US" w:eastAsia="ja-JP"/>
        </w:rPr>
        <w:t>(Art Incentive Scheme for New Developments in Central Area)</w:t>
      </w:r>
      <w:r>
        <w:rPr>
          <w:rFonts w:hint="eastAsia"/>
          <w:lang w:val="en-US" w:eastAsia="ja-JP"/>
        </w:rPr>
        <w:t>」を</w:t>
      </w:r>
      <w:r w:rsidR="005A25F8">
        <w:rPr>
          <w:rFonts w:hint="eastAsia"/>
          <w:lang w:val="en-US" w:eastAsia="ja-JP"/>
        </w:rPr>
        <w:t>施行</w:t>
      </w:r>
      <w:r>
        <w:rPr>
          <w:rFonts w:hint="eastAsia"/>
          <w:lang w:val="en-US" w:eastAsia="ja-JP"/>
        </w:rPr>
        <w:t>した。同</w:t>
      </w:r>
      <w:r w:rsidR="005A25F8">
        <w:rPr>
          <w:rFonts w:hint="eastAsia"/>
          <w:lang w:val="en-US" w:eastAsia="ja-JP"/>
        </w:rPr>
        <w:t>措置で</w:t>
      </w:r>
      <w:r>
        <w:rPr>
          <w:rFonts w:hint="eastAsia"/>
          <w:lang w:val="en-US" w:eastAsia="ja-JP"/>
        </w:rPr>
        <w:t>は、都市部で今後建設される建築物やその地域には</w:t>
      </w:r>
      <w:r w:rsidR="00A06585">
        <w:rPr>
          <w:rFonts w:hint="eastAsia"/>
          <w:lang w:val="en-US" w:eastAsia="ja-JP"/>
        </w:rPr>
        <w:t>、</w:t>
      </w:r>
      <w:r>
        <w:rPr>
          <w:rFonts w:hint="eastAsia"/>
          <w:lang w:val="en-US" w:eastAsia="ja-JP"/>
        </w:rPr>
        <w:t>２次</w:t>
      </w:r>
      <w:r w:rsidR="00A06585">
        <w:rPr>
          <w:rFonts w:hint="eastAsia"/>
          <w:lang w:val="en-US" w:eastAsia="ja-JP"/>
        </w:rPr>
        <w:t>元又は３</w:t>
      </w:r>
      <w:r>
        <w:rPr>
          <w:rFonts w:hint="eastAsia"/>
          <w:lang w:val="en-US" w:eastAsia="ja-JP"/>
        </w:rPr>
        <w:t>次元の芸術品を永久に展示できるとし、その展示物に</w:t>
      </w:r>
      <w:r w:rsidR="00A06585">
        <w:rPr>
          <w:rFonts w:hint="eastAsia"/>
          <w:lang w:val="en-US" w:eastAsia="ja-JP"/>
        </w:rPr>
        <w:t>必要な</w:t>
      </w:r>
      <w:r>
        <w:rPr>
          <w:rFonts w:hint="eastAsia"/>
          <w:lang w:val="en-US" w:eastAsia="ja-JP"/>
        </w:rPr>
        <w:t>土地面積を割り当てる</w:t>
      </w:r>
      <w:r w:rsidR="005A25F8">
        <w:rPr>
          <w:rFonts w:hint="eastAsia"/>
          <w:lang w:val="en-US" w:eastAsia="ja-JP"/>
        </w:rPr>
        <w:t>施策</w:t>
      </w:r>
      <w:r w:rsidR="00B03800">
        <w:rPr>
          <w:rFonts w:hint="eastAsia"/>
          <w:lang w:val="en-US" w:eastAsia="ja-JP"/>
        </w:rPr>
        <w:t>を打ち出した。</w:t>
      </w:r>
    </w:p>
    <w:p w14:paraId="1FDBCD80" w14:textId="77777777" w:rsidR="00B03800" w:rsidRDefault="00B03800" w:rsidP="00F11731">
      <w:pPr>
        <w:pStyle w:val="a9"/>
        <w:jc w:val="both"/>
        <w:rPr>
          <w:lang w:val="en-US" w:eastAsia="ja-JP"/>
        </w:rPr>
      </w:pPr>
    </w:p>
    <w:p w14:paraId="26ADF35C" w14:textId="2669B8BC" w:rsidR="00B03800" w:rsidRPr="00B03800" w:rsidRDefault="00B03800" w:rsidP="00B03800">
      <w:pPr>
        <w:pStyle w:val="a9"/>
        <w:jc w:val="both"/>
        <w:rPr>
          <w:lang w:val="en-US" w:eastAsia="ja-JP"/>
        </w:rPr>
      </w:pPr>
      <w:r>
        <w:rPr>
          <w:rFonts w:hint="eastAsia"/>
          <w:lang w:val="en-US" w:eastAsia="ja-JP"/>
        </w:rPr>
        <w:t xml:space="preserve">　工事現場の資材</w:t>
      </w:r>
      <w:r w:rsidR="005A25F8">
        <w:rPr>
          <w:rFonts w:hint="eastAsia"/>
          <w:lang w:val="en-US" w:eastAsia="ja-JP"/>
        </w:rPr>
        <w:t>、中でも</w:t>
      </w:r>
      <w:r>
        <w:rPr>
          <w:rFonts w:hint="eastAsia"/>
          <w:lang w:val="en-US" w:eastAsia="ja-JP"/>
        </w:rPr>
        <w:t>遮音壁</w:t>
      </w:r>
      <w:r w:rsidR="00A06585">
        <w:rPr>
          <w:rFonts w:hint="eastAsia"/>
          <w:lang w:val="en-US" w:eastAsia="ja-JP"/>
        </w:rPr>
        <w:t>を</w:t>
      </w:r>
      <w:r w:rsidR="007E5563">
        <w:rPr>
          <w:rFonts w:hint="eastAsia"/>
          <w:lang w:val="en-US" w:eastAsia="ja-JP"/>
        </w:rPr>
        <w:t>アート</w:t>
      </w:r>
      <w:r>
        <w:rPr>
          <w:rFonts w:hint="eastAsia"/>
          <w:lang w:val="en-US" w:eastAsia="ja-JP"/>
        </w:rPr>
        <w:t>として活用</w:t>
      </w:r>
      <w:r w:rsidR="00A06585">
        <w:rPr>
          <w:rFonts w:hint="eastAsia"/>
          <w:lang w:val="en-US" w:eastAsia="ja-JP"/>
        </w:rPr>
        <w:t>すること</w:t>
      </w:r>
      <w:r w:rsidR="005A25F8">
        <w:rPr>
          <w:rFonts w:hint="eastAsia"/>
          <w:lang w:val="en-US" w:eastAsia="ja-JP"/>
        </w:rPr>
        <w:t>に関する規制は、</w:t>
      </w:r>
      <w:r w:rsidR="00A06585">
        <w:rPr>
          <w:rFonts w:hint="eastAsia"/>
          <w:lang w:val="en-US" w:eastAsia="ja-JP"/>
        </w:rPr>
        <w:t>近年まで</w:t>
      </w:r>
      <w:r>
        <w:rPr>
          <w:rFonts w:hint="eastAsia"/>
          <w:lang w:val="en-US" w:eastAsia="ja-JP"/>
        </w:rPr>
        <w:t>シンガポールに</w:t>
      </w:r>
      <w:r w:rsidR="005A25F8">
        <w:rPr>
          <w:rFonts w:hint="eastAsia"/>
          <w:lang w:val="en-US" w:eastAsia="ja-JP"/>
        </w:rPr>
        <w:t>は</w:t>
      </w:r>
      <w:r>
        <w:rPr>
          <w:rFonts w:hint="eastAsia"/>
          <w:lang w:val="en-US" w:eastAsia="ja-JP"/>
        </w:rPr>
        <w:t>存在</w:t>
      </w:r>
      <w:r w:rsidR="005A25F8">
        <w:rPr>
          <w:rFonts w:hint="eastAsia"/>
          <w:lang w:val="en-US" w:eastAsia="ja-JP"/>
        </w:rPr>
        <w:t>していなかったが</w:t>
      </w:r>
      <w:r>
        <w:rPr>
          <w:rFonts w:hint="eastAsia"/>
          <w:lang w:val="en-US" w:eastAsia="ja-JP"/>
        </w:rPr>
        <w:t>、</w:t>
      </w:r>
      <w:r>
        <w:rPr>
          <w:rFonts w:hint="eastAsia"/>
          <w:lang w:val="en-US" w:eastAsia="ja-JP"/>
        </w:rPr>
        <w:t>2021</w:t>
      </w:r>
      <w:r>
        <w:rPr>
          <w:rFonts w:hint="eastAsia"/>
          <w:lang w:val="en-US" w:eastAsia="ja-JP"/>
        </w:rPr>
        <w:t>年以降</w:t>
      </w:r>
      <w:r w:rsidR="005A25F8">
        <w:rPr>
          <w:rFonts w:hint="eastAsia"/>
          <w:lang w:val="en-US" w:eastAsia="ja-JP"/>
        </w:rPr>
        <w:t>に</w:t>
      </w:r>
      <w:r>
        <w:rPr>
          <w:rFonts w:hint="eastAsia"/>
          <w:lang w:val="en-US" w:eastAsia="ja-JP"/>
        </w:rPr>
        <w:t>国内で遮音壁を壁画に転身させるケースが散見され、遮音壁をアートとして活用することが国内で注目され始めた。</w:t>
      </w:r>
      <w:r w:rsidR="00A06585">
        <w:rPr>
          <w:rFonts w:hint="eastAsia"/>
          <w:lang w:val="en-US" w:eastAsia="ja-JP"/>
        </w:rPr>
        <w:t>これにより</w:t>
      </w:r>
      <w:r>
        <w:rPr>
          <w:rFonts w:hint="eastAsia"/>
          <w:lang w:val="en-US" w:eastAsia="ja-JP"/>
        </w:rPr>
        <w:t>、シンガポール都市再開発庁は</w:t>
      </w:r>
      <w:r>
        <w:rPr>
          <w:rFonts w:hint="eastAsia"/>
          <w:lang w:val="en-US" w:eastAsia="ja-JP"/>
        </w:rPr>
        <w:t>2025</w:t>
      </w:r>
      <w:r>
        <w:rPr>
          <w:rFonts w:hint="eastAsia"/>
          <w:lang w:val="en-US" w:eastAsia="ja-JP"/>
        </w:rPr>
        <w:t>年</w:t>
      </w:r>
      <w:r>
        <w:rPr>
          <w:rFonts w:hint="eastAsia"/>
          <w:lang w:val="en-US" w:eastAsia="ja-JP"/>
        </w:rPr>
        <w:t>3</w:t>
      </w:r>
      <w:r>
        <w:rPr>
          <w:rFonts w:hint="eastAsia"/>
          <w:lang w:val="en-US" w:eastAsia="ja-JP"/>
        </w:rPr>
        <w:t>月</w:t>
      </w:r>
      <w:r>
        <w:rPr>
          <w:rFonts w:hint="eastAsia"/>
          <w:lang w:val="en-US" w:eastAsia="ja-JP"/>
        </w:rPr>
        <w:t>6</w:t>
      </w:r>
      <w:r>
        <w:rPr>
          <w:rFonts w:hint="eastAsia"/>
          <w:lang w:val="en-US" w:eastAsia="ja-JP"/>
        </w:rPr>
        <w:t>日付で「遮音壁の創造的な</w:t>
      </w:r>
      <w:r w:rsidR="007E5563">
        <w:rPr>
          <w:rFonts w:hint="eastAsia"/>
          <w:lang w:val="en-US" w:eastAsia="ja-JP"/>
        </w:rPr>
        <w:t>利活用</w:t>
      </w:r>
      <w:r>
        <w:rPr>
          <w:rFonts w:hint="eastAsia"/>
          <w:lang w:val="en-US" w:eastAsia="ja-JP"/>
        </w:rPr>
        <w:t>に関するガイドライン</w:t>
      </w:r>
      <w:r>
        <w:rPr>
          <w:lang w:val="en-US" w:eastAsia="ja-JP"/>
        </w:rPr>
        <w:t xml:space="preserve"> (Creative Hoarding Guide)</w:t>
      </w:r>
      <w:r>
        <w:rPr>
          <w:rFonts w:hint="eastAsia"/>
          <w:lang w:val="en-US" w:eastAsia="ja-JP"/>
        </w:rPr>
        <w:t>」を制定した。</w:t>
      </w:r>
    </w:p>
    <w:p w14:paraId="6FAF7B45" w14:textId="77777777" w:rsidR="00B03800" w:rsidRDefault="00B03800" w:rsidP="00F11731">
      <w:pPr>
        <w:pStyle w:val="a9"/>
        <w:jc w:val="both"/>
        <w:rPr>
          <w:lang w:val="en-US" w:eastAsia="ja-JP"/>
        </w:rPr>
      </w:pPr>
    </w:p>
    <w:p w14:paraId="6361E15E" w14:textId="77777777" w:rsidR="000F17D1" w:rsidRDefault="000F17D1" w:rsidP="00F11731">
      <w:pPr>
        <w:pStyle w:val="a9"/>
        <w:jc w:val="both"/>
        <w:rPr>
          <w:lang w:val="en-US" w:eastAsia="ja-JP"/>
        </w:rPr>
      </w:pPr>
    </w:p>
    <w:p w14:paraId="694C8244" w14:textId="372E4EA9" w:rsidR="00B03800" w:rsidRDefault="00B03800" w:rsidP="00F11731">
      <w:pPr>
        <w:pStyle w:val="a9"/>
        <w:jc w:val="both"/>
        <w:rPr>
          <w:b/>
          <w:bCs/>
          <w:lang w:val="en-US" w:eastAsia="ja-JP"/>
        </w:rPr>
      </w:pPr>
      <w:r w:rsidRPr="00B03800">
        <w:rPr>
          <w:rFonts w:hint="eastAsia"/>
          <w:b/>
          <w:bCs/>
          <w:lang w:val="en-US" w:eastAsia="ja-JP"/>
        </w:rPr>
        <w:t xml:space="preserve">　</w:t>
      </w:r>
    </w:p>
    <w:p w14:paraId="700BF7C0" w14:textId="77777777" w:rsidR="000F17D1" w:rsidRDefault="000F17D1" w:rsidP="00F11731">
      <w:pPr>
        <w:pStyle w:val="a9"/>
        <w:jc w:val="both"/>
        <w:rPr>
          <w:b/>
          <w:bCs/>
          <w:lang w:val="en-US" w:eastAsia="ja-JP"/>
        </w:rPr>
      </w:pPr>
    </w:p>
    <w:p w14:paraId="0CBF8183" w14:textId="77777777" w:rsidR="00A06585" w:rsidRDefault="00A06585" w:rsidP="00F11731">
      <w:pPr>
        <w:pStyle w:val="a9"/>
        <w:jc w:val="both"/>
        <w:rPr>
          <w:b/>
          <w:bCs/>
          <w:lang w:val="en-US" w:eastAsia="ja-JP"/>
        </w:rPr>
      </w:pPr>
    </w:p>
    <w:p w14:paraId="6752F8D8" w14:textId="77777777" w:rsidR="00A06585" w:rsidRDefault="00A06585" w:rsidP="00F11731">
      <w:pPr>
        <w:pStyle w:val="a9"/>
        <w:jc w:val="both"/>
        <w:rPr>
          <w:b/>
          <w:bCs/>
          <w:lang w:val="en-US" w:eastAsia="ja-JP"/>
        </w:rPr>
      </w:pPr>
    </w:p>
    <w:p w14:paraId="4419C549" w14:textId="77777777" w:rsidR="000F17D1" w:rsidRDefault="000F17D1" w:rsidP="00F11731">
      <w:pPr>
        <w:pStyle w:val="a9"/>
        <w:jc w:val="both"/>
        <w:rPr>
          <w:b/>
          <w:bCs/>
          <w:lang w:val="en-US" w:eastAsia="ja-JP"/>
        </w:rPr>
      </w:pPr>
    </w:p>
    <w:p w14:paraId="770B2BB3" w14:textId="77777777" w:rsidR="000F17D1" w:rsidRDefault="000F17D1" w:rsidP="00F11731">
      <w:pPr>
        <w:pStyle w:val="a9"/>
        <w:jc w:val="both"/>
        <w:rPr>
          <w:b/>
          <w:bCs/>
          <w:lang w:val="en-US" w:eastAsia="ja-JP"/>
        </w:rPr>
      </w:pPr>
    </w:p>
    <w:p w14:paraId="2BEA840C" w14:textId="77777777" w:rsidR="000F17D1" w:rsidRDefault="000F17D1" w:rsidP="00F11731">
      <w:pPr>
        <w:pStyle w:val="a9"/>
        <w:jc w:val="both"/>
        <w:rPr>
          <w:b/>
          <w:bCs/>
          <w:lang w:val="en-US" w:eastAsia="ja-JP"/>
        </w:rPr>
      </w:pPr>
    </w:p>
    <w:p w14:paraId="36F99B32" w14:textId="77777777" w:rsidR="000F17D1" w:rsidRDefault="000F17D1" w:rsidP="00F11731">
      <w:pPr>
        <w:pStyle w:val="a9"/>
        <w:jc w:val="both"/>
        <w:rPr>
          <w:b/>
          <w:bCs/>
          <w:lang w:val="en-US" w:eastAsia="ja-JP"/>
        </w:rPr>
      </w:pPr>
    </w:p>
    <w:p w14:paraId="0997C952" w14:textId="77777777" w:rsidR="000F17D1" w:rsidRDefault="000F17D1" w:rsidP="00F11731">
      <w:pPr>
        <w:pStyle w:val="a9"/>
        <w:jc w:val="both"/>
        <w:rPr>
          <w:b/>
          <w:bCs/>
          <w:lang w:val="en-US" w:eastAsia="ja-JP"/>
        </w:rPr>
      </w:pPr>
    </w:p>
    <w:p w14:paraId="360E8A9A" w14:textId="77777777" w:rsidR="000F17D1" w:rsidRDefault="000F17D1" w:rsidP="00F11731">
      <w:pPr>
        <w:pStyle w:val="a9"/>
        <w:jc w:val="both"/>
        <w:rPr>
          <w:b/>
          <w:bCs/>
          <w:lang w:val="en-US" w:eastAsia="ja-JP"/>
        </w:rPr>
      </w:pPr>
    </w:p>
    <w:p w14:paraId="6E92F09F" w14:textId="77777777" w:rsidR="000F17D1" w:rsidRDefault="000F17D1" w:rsidP="00F11731">
      <w:pPr>
        <w:pStyle w:val="a9"/>
        <w:jc w:val="both"/>
        <w:rPr>
          <w:b/>
          <w:bCs/>
          <w:lang w:val="en-US" w:eastAsia="ja-JP"/>
        </w:rPr>
      </w:pPr>
    </w:p>
    <w:p w14:paraId="722800C1" w14:textId="77777777" w:rsidR="00A06585" w:rsidRPr="00B03800" w:rsidRDefault="00A06585" w:rsidP="00F11731">
      <w:pPr>
        <w:pStyle w:val="a9"/>
        <w:jc w:val="both"/>
        <w:rPr>
          <w:b/>
          <w:bCs/>
          <w:lang w:val="en-US" w:eastAsia="ja-JP"/>
        </w:rPr>
      </w:pPr>
    </w:p>
    <w:p w14:paraId="6AD4B149" w14:textId="3A97FDCC" w:rsidR="00863046" w:rsidRPr="00B03800" w:rsidRDefault="00B03800" w:rsidP="00863046">
      <w:pPr>
        <w:pStyle w:val="a9"/>
        <w:numPr>
          <w:ilvl w:val="0"/>
          <w:numId w:val="1"/>
        </w:numPr>
        <w:rPr>
          <w:b/>
          <w:bCs/>
          <w:lang w:val="en-US" w:eastAsia="ja-JP"/>
        </w:rPr>
      </w:pPr>
      <w:r w:rsidRPr="00B03800">
        <w:rPr>
          <w:rFonts w:hint="eastAsia"/>
          <w:b/>
          <w:bCs/>
          <w:lang w:val="en-US" w:eastAsia="ja-JP"/>
        </w:rPr>
        <w:lastRenderedPageBreak/>
        <w:t>「遮音壁の創造的な</w:t>
      </w:r>
      <w:r w:rsidR="007E5563">
        <w:rPr>
          <w:rFonts w:hint="eastAsia"/>
          <w:b/>
          <w:bCs/>
          <w:lang w:val="en-US" w:eastAsia="ja-JP"/>
        </w:rPr>
        <w:t>利活用</w:t>
      </w:r>
      <w:r w:rsidRPr="00B03800">
        <w:rPr>
          <w:rFonts w:hint="eastAsia"/>
          <w:b/>
          <w:bCs/>
          <w:lang w:val="en-US" w:eastAsia="ja-JP"/>
        </w:rPr>
        <w:t>に関するガイドライン</w:t>
      </w:r>
      <w:r w:rsidRPr="00B03800">
        <w:rPr>
          <w:b/>
          <w:bCs/>
          <w:lang w:val="en-US" w:eastAsia="ja-JP"/>
        </w:rPr>
        <w:t xml:space="preserve"> (Creative Hoarding Guide)</w:t>
      </w:r>
      <w:r w:rsidRPr="00B03800">
        <w:rPr>
          <w:rFonts w:hint="eastAsia"/>
          <w:b/>
          <w:bCs/>
          <w:lang w:val="en-US" w:eastAsia="ja-JP"/>
        </w:rPr>
        <w:t>」について</w:t>
      </w:r>
    </w:p>
    <w:p w14:paraId="68FEDFBD" w14:textId="77777777" w:rsidR="00B03800" w:rsidRDefault="00B03800" w:rsidP="00B03800">
      <w:pPr>
        <w:pStyle w:val="a9"/>
        <w:rPr>
          <w:lang w:val="en-US" w:eastAsia="ja-JP"/>
        </w:rPr>
      </w:pPr>
    </w:p>
    <w:p w14:paraId="0843B6E6" w14:textId="77777777" w:rsidR="000E58DA" w:rsidRDefault="00B03800" w:rsidP="00B03800">
      <w:pPr>
        <w:pStyle w:val="a9"/>
        <w:rPr>
          <w:lang w:val="en-US" w:eastAsia="ja-JP"/>
        </w:rPr>
      </w:pPr>
      <w:r>
        <w:rPr>
          <w:rFonts w:hint="eastAsia"/>
          <w:lang w:val="en-US" w:eastAsia="ja-JP"/>
        </w:rPr>
        <w:t>シンガポール都市再開発庁は</w:t>
      </w:r>
      <w:r w:rsidR="000E58DA">
        <w:rPr>
          <w:rFonts w:hint="eastAsia"/>
          <w:lang w:val="en-US" w:eastAsia="ja-JP"/>
        </w:rPr>
        <w:t>、</w:t>
      </w:r>
      <w:r>
        <w:rPr>
          <w:rFonts w:hint="eastAsia"/>
          <w:lang w:val="en-US" w:eastAsia="ja-JP"/>
        </w:rPr>
        <w:t>遮音壁をアート</w:t>
      </w:r>
      <w:r w:rsidR="007E5563">
        <w:rPr>
          <w:rFonts w:hint="eastAsia"/>
          <w:lang w:val="en-US" w:eastAsia="ja-JP"/>
        </w:rPr>
        <w:t>として利活用</w:t>
      </w:r>
      <w:r w:rsidR="000E58DA">
        <w:rPr>
          <w:rFonts w:hint="eastAsia"/>
          <w:lang w:val="en-US" w:eastAsia="ja-JP"/>
        </w:rPr>
        <w:t>することに</w:t>
      </w:r>
      <w:r>
        <w:rPr>
          <w:rFonts w:hint="eastAsia"/>
          <w:lang w:val="en-US" w:eastAsia="ja-JP"/>
        </w:rPr>
        <w:t>ついて</w:t>
      </w:r>
      <w:r w:rsidR="000E58DA">
        <w:rPr>
          <w:rFonts w:hint="eastAsia"/>
          <w:lang w:val="en-US" w:eastAsia="ja-JP"/>
        </w:rPr>
        <w:t>、</w:t>
      </w:r>
      <w:r>
        <w:rPr>
          <w:rFonts w:hint="eastAsia"/>
          <w:lang w:val="en-US" w:eastAsia="ja-JP"/>
        </w:rPr>
        <w:t>より明確な指針</w:t>
      </w:r>
      <w:r w:rsidR="007E5563">
        <w:rPr>
          <w:rFonts w:hint="eastAsia"/>
          <w:lang w:val="en-US" w:eastAsia="ja-JP"/>
        </w:rPr>
        <w:t>を示すために、</w:t>
      </w:r>
      <w:r w:rsidR="007E5563">
        <w:rPr>
          <w:rFonts w:hint="eastAsia"/>
          <w:lang w:val="en-US" w:eastAsia="ja-JP"/>
        </w:rPr>
        <w:t>2025</w:t>
      </w:r>
      <w:r w:rsidR="007E5563">
        <w:rPr>
          <w:rFonts w:hint="eastAsia"/>
          <w:lang w:val="en-US" w:eastAsia="ja-JP"/>
        </w:rPr>
        <w:t>年に関連のガイドラインを打ち出した。</w:t>
      </w:r>
    </w:p>
    <w:p w14:paraId="1722F9AB" w14:textId="4D2DBBB2" w:rsidR="00B03800" w:rsidRDefault="007E5563" w:rsidP="00B03800">
      <w:pPr>
        <w:pStyle w:val="a9"/>
        <w:rPr>
          <w:lang w:val="en-US" w:eastAsia="ja-JP"/>
        </w:rPr>
      </w:pPr>
      <w:r>
        <w:rPr>
          <w:rFonts w:hint="eastAsia"/>
          <w:lang w:val="en-US" w:eastAsia="ja-JP"/>
        </w:rPr>
        <w:t>その概要</w:t>
      </w:r>
      <w:r w:rsidR="000E58DA">
        <w:rPr>
          <w:rFonts w:hint="eastAsia"/>
          <w:lang w:val="en-US" w:eastAsia="ja-JP"/>
        </w:rPr>
        <w:t>は、</w:t>
      </w:r>
      <w:r>
        <w:rPr>
          <w:rFonts w:hint="eastAsia"/>
          <w:lang w:val="en-US" w:eastAsia="ja-JP"/>
        </w:rPr>
        <w:t>以下の通り</w:t>
      </w:r>
      <w:r w:rsidR="000E58DA">
        <w:rPr>
          <w:rFonts w:hint="eastAsia"/>
          <w:lang w:val="en-US" w:eastAsia="ja-JP"/>
        </w:rPr>
        <w:t>である</w:t>
      </w:r>
      <w:r>
        <w:rPr>
          <w:rFonts w:hint="eastAsia"/>
          <w:lang w:val="en-US" w:eastAsia="ja-JP"/>
        </w:rPr>
        <w:t>：</w:t>
      </w:r>
    </w:p>
    <w:p w14:paraId="7AD829B0" w14:textId="42727DB4" w:rsidR="007E5563" w:rsidRDefault="007E5563" w:rsidP="007E5563">
      <w:pPr>
        <w:pStyle w:val="a9"/>
        <w:numPr>
          <w:ilvl w:val="0"/>
          <w:numId w:val="2"/>
        </w:numPr>
        <w:rPr>
          <w:lang w:val="en-US" w:eastAsia="ja-JP"/>
        </w:rPr>
      </w:pPr>
      <w:r>
        <w:rPr>
          <w:rFonts w:hint="eastAsia"/>
          <w:lang w:val="en-US" w:eastAsia="ja-JP"/>
        </w:rPr>
        <w:t>遮音壁を以下</w:t>
      </w:r>
      <w:r w:rsidR="000E58DA">
        <w:rPr>
          <w:rFonts w:hint="eastAsia"/>
          <w:lang w:val="en-US" w:eastAsia="ja-JP"/>
        </w:rPr>
        <w:t>の</w:t>
      </w:r>
      <w:r>
        <w:rPr>
          <w:rFonts w:hint="eastAsia"/>
          <w:lang w:val="en-US" w:eastAsia="ja-JP"/>
        </w:rPr>
        <w:t>4</w:t>
      </w:r>
      <w:r>
        <w:rPr>
          <w:rFonts w:hint="eastAsia"/>
          <w:lang w:val="en-US" w:eastAsia="ja-JP"/>
        </w:rPr>
        <w:t>種類の対象物として活用できる：</w:t>
      </w:r>
    </w:p>
    <w:p w14:paraId="3D5EEEA8" w14:textId="2EDEDA72" w:rsidR="007E5563" w:rsidRPr="007F4445" w:rsidRDefault="007E5563" w:rsidP="007F4445">
      <w:pPr>
        <w:pStyle w:val="a9"/>
        <w:ind w:left="1440"/>
        <w:rPr>
          <w:lang w:val="en-US" w:eastAsia="ja-JP"/>
        </w:rPr>
      </w:pPr>
      <w:r>
        <w:rPr>
          <w:rFonts w:hint="eastAsia"/>
          <w:lang w:val="en-US" w:eastAsia="ja-JP"/>
        </w:rPr>
        <w:t>―</w:t>
      </w:r>
      <w:r>
        <w:rPr>
          <w:rFonts w:hint="eastAsia"/>
          <w:lang w:val="en-US" w:eastAsia="ja-JP"/>
        </w:rPr>
        <w:t xml:space="preserve"> </w:t>
      </w:r>
      <w:r>
        <w:rPr>
          <w:rFonts w:hint="eastAsia"/>
          <w:lang w:val="en-US" w:eastAsia="ja-JP"/>
        </w:rPr>
        <w:t>芸術品</w:t>
      </w:r>
      <w:r w:rsidR="001E668D">
        <w:rPr>
          <w:rFonts w:hint="eastAsia"/>
          <w:lang w:val="en-US" w:eastAsia="ja-JP"/>
        </w:rPr>
        <w:t>：</w:t>
      </w:r>
      <w:r w:rsidR="003637A4">
        <w:rPr>
          <w:rFonts w:hint="eastAsia"/>
          <w:lang w:val="en-US" w:eastAsia="ja-JP"/>
        </w:rPr>
        <w:t>ビジュアル的な要素に富んだものであり、地域と関連性のあるもの</w:t>
      </w:r>
      <w:r w:rsidR="003637A4" w:rsidRPr="007F4445">
        <w:rPr>
          <w:rFonts w:hint="eastAsia"/>
          <w:lang w:val="en-US" w:eastAsia="ja-JP"/>
        </w:rPr>
        <w:t>。</w:t>
      </w:r>
    </w:p>
    <w:p w14:paraId="7AC89E37" w14:textId="06A43ED5" w:rsidR="007E5563" w:rsidRDefault="007E5563" w:rsidP="007E5563">
      <w:pPr>
        <w:pStyle w:val="a9"/>
        <w:ind w:left="1440"/>
        <w:rPr>
          <w:lang w:val="en-US" w:eastAsia="ja-JP"/>
        </w:rPr>
      </w:pPr>
      <w:r>
        <w:rPr>
          <w:rFonts w:hint="eastAsia"/>
          <w:lang w:val="en-US" w:eastAsia="ja-JP"/>
        </w:rPr>
        <w:t>―歴史にまつわる展示物</w:t>
      </w:r>
      <w:r w:rsidR="003637A4">
        <w:rPr>
          <w:rFonts w:hint="eastAsia"/>
          <w:lang w:val="en-US" w:eastAsia="ja-JP"/>
        </w:rPr>
        <w:t>：建築物の歴史やその建設意義を説明する内容</w:t>
      </w:r>
      <w:r w:rsidR="007F4445">
        <w:rPr>
          <w:rFonts w:hint="eastAsia"/>
          <w:lang w:val="en-US" w:eastAsia="ja-JP"/>
        </w:rPr>
        <w:t>を含むもの</w:t>
      </w:r>
      <w:r w:rsidR="003637A4">
        <w:rPr>
          <w:rFonts w:hint="eastAsia"/>
          <w:lang w:val="en-US" w:eastAsia="ja-JP"/>
        </w:rPr>
        <w:t>。</w:t>
      </w:r>
    </w:p>
    <w:p w14:paraId="1513F34B" w14:textId="5463B94C" w:rsidR="007E5563" w:rsidRDefault="007E5563" w:rsidP="007E5563">
      <w:pPr>
        <w:pStyle w:val="a9"/>
        <w:ind w:left="1440"/>
        <w:rPr>
          <w:lang w:val="en-US" w:eastAsia="ja-JP"/>
        </w:rPr>
      </w:pPr>
      <w:r>
        <w:rPr>
          <w:rFonts w:hint="eastAsia"/>
          <w:lang w:val="en-US" w:eastAsia="ja-JP"/>
        </w:rPr>
        <w:t>―地域の特徴を説明する展示物</w:t>
      </w:r>
      <w:r w:rsidR="003637A4">
        <w:rPr>
          <w:rFonts w:hint="eastAsia"/>
          <w:lang w:val="en-US" w:eastAsia="ja-JP"/>
        </w:rPr>
        <w:t>：全体的な計画理念を伝え、地域のアイデンティティを高めると同時に、域内のアクセスを改善するもの。</w:t>
      </w:r>
    </w:p>
    <w:p w14:paraId="2DAF9447" w14:textId="3E881B9C" w:rsidR="003637A4" w:rsidRPr="003637A4" w:rsidRDefault="007E5563" w:rsidP="003637A4">
      <w:pPr>
        <w:pStyle w:val="a9"/>
        <w:ind w:left="1440"/>
        <w:rPr>
          <w:lang w:val="en-US" w:eastAsia="ja-JP"/>
        </w:rPr>
      </w:pPr>
      <w:r>
        <w:rPr>
          <w:rFonts w:hint="eastAsia"/>
          <w:lang w:val="en-US" w:eastAsia="ja-JP"/>
        </w:rPr>
        <w:t>―緑化壁</w:t>
      </w:r>
      <w:r w:rsidR="003637A4">
        <w:rPr>
          <w:rFonts w:hint="eastAsia"/>
          <w:lang w:val="en-US" w:eastAsia="ja-JP"/>
        </w:rPr>
        <w:t>：植物が遮音壁を覆って、緑化壁に転身させる</w:t>
      </w:r>
      <w:r w:rsidR="00A06585">
        <w:rPr>
          <w:rFonts w:hint="eastAsia"/>
          <w:lang w:val="en-US" w:eastAsia="ja-JP"/>
        </w:rPr>
        <w:t>もの。</w:t>
      </w:r>
    </w:p>
    <w:p w14:paraId="07A39716" w14:textId="4CB82F16" w:rsidR="007E5563" w:rsidRDefault="007F4445" w:rsidP="007E5563">
      <w:pPr>
        <w:pStyle w:val="a9"/>
        <w:numPr>
          <w:ilvl w:val="0"/>
          <w:numId w:val="2"/>
        </w:numPr>
        <w:rPr>
          <w:lang w:val="en-US" w:eastAsia="ja-JP"/>
        </w:rPr>
      </w:pPr>
      <w:r>
        <w:rPr>
          <w:rFonts w:hint="eastAsia"/>
          <w:lang w:val="en-US" w:eastAsia="ja-JP"/>
        </w:rPr>
        <w:t>以下のような</w:t>
      </w:r>
      <w:r w:rsidR="007E5563">
        <w:rPr>
          <w:rFonts w:hint="eastAsia"/>
          <w:lang w:val="en-US" w:eastAsia="ja-JP"/>
        </w:rPr>
        <w:t>デザインの要素</w:t>
      </w:r>
      <w:r>
        <w:rPr>
          <w:rFonts w:hint="eastAsia"/>
          <w:lang w:val="en-US" w:eastAsia="ja-JP"/>
        </w:rPr>
        <w:t>が</w:t>
      </w:r>
      <w:r w:rsidR="007E5563">
        <w:rPr>
          <w:rFonts w:hint="eastAsia"/>
          <w:lang w:val="en-US" w:eastAsia="ja-JP"/>
        </w:rPr>
        <w:t>奨励される：</w:t>
      </w:r>
    </w:p>
    <w:p w14:paraId="32770C25" w14:textId="579A1363" w:rsidR="003637A4" w:rsidRDefault="003637A4" w:rsidP="003637A4">
      <w:pPr>
        <w:pStyle w:val="a9"/>
        <w:ind w:left="1440"/>
        <w:rPr>
          <w:lang w:val="en-US" w:eastAsia="ja-JP"/>
        </w:rPr>
      </w:pPr>
      <w:r>
        <w:rPr>
          <w:rFonts w:hint="eastAsia"/>
          <w:lang w:val="en-US" w:eastAsia="ja-JP"/>
        </w:rPr>
        <w:t>―鮮やかな色彩の利用</w:t>
      </w:r>
      <w:r w:rsidR="00A06585">
        <w:rPr>
          <w:rFonts w:hint="eastAsia"/>
          <w:lang w:val="en-US" w:eastAsia="ja-JP"/>
        </w:rPr>
        <w:t>する</w:t>
      </w:r>
    </w:p>
    <w:p w14:paraId="1C19B359" w14:textId="77777777" w:rsidR="003637A4" w:rsidRDefault="003637A4" w:rsidP="003637A4">
      <w:pPr>
        <w:pStyle w:val="a9"/>
        <w:ind w:left="1440"/>
        <w:rPr>
          <w:lang w:val="en-US" w:eastAsia="ja-JP"/>
        </w:rPr>
      </w:pPr>
      <w:r>
        <w:rPr>
          <w:rFonts w:hint="eastAsia"/>
          <w:lang w:val="en-US" w:eastAsia="ja-JP"/>
        </w:rPr>
        <w:t>―該当地域で今後実現される開発事業を芸術的な目線で再現する</w:t>
      </w:r>
    </w:p>
    <w:p w14:paraId="210227E3" w14:textId="70674A2E" w:rsidR="003637A4" w:rsidRDefault="003637A4" w:rsidP="003637A4">
      <w:pPr>
        <w:pStyle w:val="a9"/>
        <w:ind w:left="1440"/>
        <w:rPr>
          <w:lang w:val="en-US" w:eastAsia="ja-JP"/>
        </w:rPr>
      </w:pPr>
      <w:r>
        <w:rPr>
          <w:rFonts w:hint="eastAsia"/>
          <w:lang w:val="en-US" w:eastAsia="ja-JP"/>
        </w:rPr>
        <w:t>―芸術家の情報を</w:t>
      </w:r>
      <w:r w:rsidR="00E7204D">
        <w:rPr>
          <w:rFonts w:hint="eastAsia"/>
          <w:lang w:val="en-US" w:eastAsia="ja-JP"/>
        </w:rPr>
        <w:t>記載する</w:t>
      </w:r>
    </w:p>
    <w:p w14:paraId="6AC0FF09" w14:textId="66AA8763" w:rsidR="003637A4" w:rsidRDefault="003637A4" w:rsidP="003637A4">
      <w:pPr>
        <w:pStyle w:val="a9"/>
        <w:ind w:left="1440"/>
        <w:rPr>
          <w:lang w:val="en-US" w:eastAsia="ja-JP"/>
        </w:rPr>
      </w:pPr>
      <w:r>
        <w:rPr>
          <w:rFonts w:hint="eastAsia"/>
          <w:lang w:val="en-US" w:eastAsia="ja-JP"/>
        </w:rPr>
        <w:t>―</w:t>
      </w:r>
      <w:r w:rsidR="00E7204D">
        <w:rPr>
          <w:rFonts w:hint="eastAsia"/>
          <w:lang w:val="en-US" w:eastAsia="ja-JP"/>
        </w:rPr>
        <w:t>掲出する</w:t>
      </w:r>
      <w:r>
        <w:rPr>
          <w:rFonts w:hint="eastAsia"/>
          <w:lang w:val="en-US" w:eastAsia="ja-JP"/>
        </w:rPr>
        <w:t>現場で絵画を作成する</w:t>
      </w:r>
    </w:p>
    <w:p w14:paraId="0904F8BB" w14:textId="372AE084" w:rsidR="003637A4" w:rsidRDefault="003637A4" w:rsidP="003637A4">
      <w:pPr>
        <w:pStyle w:val="a9"/>
        <w:ind w:left="1440"/>
        <w:rPr>
          <w:lang w:val="en-US" w:eastAsia="ja-JP"/>
        </w:rPr>
      </w:pPr>
      <w:r>
        <w:rPr>
          <w:rFonts w:hint="eastAsia"/>
          <w:lang w:val="en-US" w:eastAsia="ja-JP"/>
        </w:rPr>
        <w:t>―</w:t>
      </w:r>
      <w:r>
        <w:rPr>
          <w:rFonts w:hint="eastAsia"/>
          <w:lang w:val="en-US" w:eastAsia="ja-JP"/>
        </w:rPr>
        <w:t xml:space="preserve"> </w:t>
      </w:r>
      <w:r>
        <w:rPr>
          <w:rFonts w:hint="eastAsia"/>
          <w:lang w:val="en-US" w:eastAsia="ja-JP"/>
        </w:rPr>
        <w:t>インタラクティブな要素を</w:t>
      </w:r>
      <w:r w:rsidR="00E7204D">
        <w:rPr>
          <w:rFonts w:hint="eastAsia"/>
          <w:lang w:val="en-US" w:eastAsia="ja-JP"/>
        </w:rPr>
        <w:t>取り</w:t>
      </w:r>
      <w:r>
        <w:rPr>
          <w:rFonts w:hint="eastAsia"/>
          <w:lang w:val="en-US" w:eastAsia="ja-JP"/>
        </w:rPr>
        <w:t>入れる</w:t>
      </w:r>
    </w:p>
    <w:p w14:paraId="1EC6C619" w14:textId="36EF2F51" w:rsidR="003637A4" w:rsidRDefault="003637A4" w:rsidP="003637A4">
      <w:pPr>
        <w:pStyle w:val="a9"/>
        <w:ind w:left="1440"/>
        <w:rPr>
          <w:lang w:val="en-US" w:eastAsia="ja-JP"/>
        </w:rPr>
      </w:pPr>
      <w:r>
        <w:rPr>
          <w:rFonts w:hint="eastAsia"/>
          <w:lang w:val="en-US" w:eastAsia="ja-JP"/>
        </w:rPr>
        <w:t>―拡張現実（</w:t>
      </w:r>
      <w:r>
        <w:rPr>
          <w:lang w:val="en-US" w:eastAsia="ja-JP"/>
        </w:rPr>
        <w:t>A R</w:t>
      </w:r>
      <w:r>
        <w:rPr>
          <w:rFonts w:hint="eastAsia"/>
          <w:lang w:val="en-US" w:eastAsia="ja-JP"/>
        </w:rPr>
        <w:t>）の要素を</w:t>
      </w:r>
      <w:r w:rsidR="00E7204D">
        <w:rPr>
          <w:rFonts w:hint="eastAsia"/>
          <w:lang w:val="en-US" w:eastAsia="ja-JP"/>
        </w:rPr>
        <w:t>取り</w:t>
      </w:r>
      <w:r>
        <w:rPr>
          <w:rFonts w:hint="eastAsia"/>
          <w:lang w:val="en-US" w:eastAsia="ja-JP"/>
        </w:rPr>
        <w:t>入れる</w:t>
      </w:r>
    </w:p>
    <w:p w14:paraId="4AAA6E58" w14:textId="569F055F" w:rsidR="003637A4" w:rsidRDefault="003637A4" w:rsidP="003637A4">
      <w:pPr>
        <w:pStyle w:val="a9"/>
        <w:ind w:left="1440"/>
        <w:rPr>
          <w:lang w:val="en-US" w:eastAsia="ja-JP"/>
        </w:rPr>
      </w:pPr>
      <w:r>
        <w:rPr>
          <w:rFonts w:hint="eastAsia"/>
          <w:lang w:val="en-US" w:eastAsia="ja-JP"/>
        </w:rPr>
        <w:t>―該当地域の歴史</w:t>
      </w:r>
      <w:r w:rsidR="00E7204D">
        <w:rPr>
          <w:rFonts w:hint="eastAsia"/>
          <w:lang w:val="en-US" w:eastAsia="ja-JP"/>
        </w:rPr>
        <w:t>的</w:t>
      </w:r>
      <w:r>
        <w:rPr>
          <w:rFonts w:hint="eastAsia"/>
          <w:lang w:val="en-US" w:eastAsia="ja-JP"/>
        </w:rPr>
        <w:t>背景を</w:t>
      </w:r>
      <w:r w:rsidR="00E7204D">
        <w:rPr>
          <w:rFonts w:hint="eastAsia"/>
          <w:lang w:val="en-US" w:eastAsia="ja-JP"/>
        </w:rPr>
        <w:t>取り入れる</w:t>
      </w:r>
    </w:p>
    <w:p w14:paraId="075807D4" w14:textId="285B7F40" w:rsidR="003637A4" w:rsidRDefault="003637A4" w:rsidP="003637A4">
      <w:pPr>
        <w:pStyle w:val="a9"/>
        <w:ind w:left="1440"/>
        <w:rPr>
          <w:lang w:val="en-US" w:eastAsia="ja-JP"/>
        </w:rPr>
      </w:pPr>
      <w:r>
        <w:rPr>
          <w:rFonts w:hint="eastAsia"/>
          <w:lang w:val="en-US" w:eastAsia="ja-JP"/>
        </w:rPr>
        <w:t>―該当地域のアクセスを説明する要素、例えば地図、主な観光地の情報などを</w:t>
      </w:r>
      <w:r w:rsidR="00E7204D">
        <w:rPr>
          <w:rFonts w:hint="eastAsia"/>
          <w:lang w:val="en-US" w:eastAsia="ja-JP"/>
        </w:rPr>
        <w:t>取り入れる</w:t>
      </w:r>
    </w:p>
    <w:p w14:paraId="7910C406" w14:textId="7AD56DCB" w:rsidR="003637A4" w:rsidRPr="003637A4" w:rsidRDefault="003637A4" w:rsidP="003637A4">
      <w:pPr>
        <w:pStyle w:val="a9"/>
        <w:ind w:left="1440"/>
        <w:rPr>
          <w:lang w:val="en-US" w:eastAsia="ja-JP"/>
        </w:rPr>
      </w:pPr>
      <w:r>
        <w:rPr>
          <w:rFonts w:hint="eastAsia"/>
          <w:lang w:val="en-US" w:eastAsia="ja-JP"/>
        </w:rPr>
        <w:t>―</w:t>
      </w:r>
      <w:r>
        <w:rPr>
          <w:rFonts w:hint="eastAsia"/>
          <w:lang w:val="en-US" w:eastAsia="ja-JP"/>
        </w:rPr>
        <w:t xml:space="preserve"> </w:t>
      </w:r>
      <w:r>
        <w:rPr>
          <w:rFonts w:hint="eastAsia"/>
          <w:lang w:val="en-US" w:eastAsia="ja-JP"/>
        </w:rPr>
        <w:t>環境にやさしい資材を</w:t>
      </w:r>
      <w:r w:rsidR="00E7204D">
        <w:rPr>
          <w:rFonts w:hint="eastAsia"/>
          <w:lang w:val="en-US" w:eastAsia="ja-JP"/>
        </w:rPr>
        <w:t>使用する</w:t>
      </w:r>
    </w:p>
    <w:p w14:paraId="1DA6B7EA" w14:textId="3F2AB8DF" w:rsidR="003637A4" w:rsidRDefault="00CC18EE" w:rsidP="00554540">
      <w:pPr>
        <w:pStyle w:val="a9"/>
        <w:numPr>
          <w:ilvl w:val="0"/>
          <w:numId w:val="2"/>
        </w:numPr>
        <w:rPr>
          <w:lang w:val="en-US" w:eastAsia="ja-JP"/>
        </w:rPr>
      </w:pPr>
      <w:r>
        <w:rPr>
          <w:rFonts w:hint="eastAsia"/>
          <w:lang w:val="en-US" w:eastAsia="ja-JP"/>
        </w:rPr>
        <w:t>遮音壁をアートに利活用する場合</w:t>
      </w:r>
      <w:r w:rsidR="00554540">
        <w:rPr>
          <w:rFonts w:hint="eastAsia"/>
          <w:lang w:val="en-US" w:eastAsia="ja-JP"/>
        </w:rPr>
        <w:t>は</w:t>
      </w:r>
      <w:r w:rsidR="00E7204D">
        <w:rPr>
          <w:rFonts w:hint="eastAsia"/>
          <w:lang w:val="en-US" w:eastAsia="ja-JP"/>
        </w:rPr>
        <w:t>、２種類</w:t>
      </w:r>
      <w:r>
        <w:rPr>
          <w:rFonts w:hint="eastAsia"/>
          <w:lang w:val="en-US" w:eastAsia="ja-JP"/>
        </w:rPr>
        <w:t>のパネルから構成しなければならない。</w:t>
      </w:r>
      <w:r w:rsidR="00554540">
        <w:rPr>
          <w:rFonts w:hint="eastAsia"/>
          <w:lang w:val="en-US" w:eastAsia="ja-JP"/>
        </w:rPr>
        <w:t>建設</w:t>
      </w:r>
      <w:r>
        <w:rPr>
          <w:rFonts w:hint="eastAsia"/>
          <w:lang w:val="en-US" w:eastAsia="ja-JP"/>
        </w:rPr>
        <w:t>事業の基礎情報を説明する「事業パネル</w:t>
      </w:r>
      <w:r>
        <w:rPr>
          <w:lang w:val="en-US" w:eastAsia="ja-JP"/>
        </w:rPr>
        <w:t>(Project Panel)</w:t>
      </w:r>
      <w:r>
        <w:rPr>
          <w:rFonts w:hint="eastAsia"/>
          <w:lang w:val="en-US" w:eastAsia="ja-JP"/>
        </w:rPr>
        <w:t>」</w:t>
      </w:r>
      <w:r w:rsidR="00E7204D">
        <w:rPr>
          <w:rFonts w:hint="eastAsia"/>
          <w:lang w:val="en-US" w:eastAsia="ja-JP"/>
        </w:rPr>
        <w:t>の大きさ</w:t>
      </w:r>
      <w:r>
        <w:rPr>
          <w:rFonts w:hint="eastAsia"/>
          <w:lang w:val="en-US" w:eastAsia="ja-JP"/>
        </w:rPr>
        <w:t>は全長の</w:t>
      </w:r>
      <w:r>
        <w:rPr>
          <w:rFonts w:hint="eastAsia"/>
          <w:lang w:val="en-US" w:eastAsia="ja-JP"/>
        </w:rPr>
        <w:t>2</w:t>
      </w:r>
      <w:r>
        <w:rPr>
          <w:lang w:val="en-US" w:eastAsia="ja-JP"/>
        </w:rPr>
        <w:t>5%</w:t>
      </w:r>
      <w:r w:rsidR="00E7204D">
        <w:rPr>
          <w:rFonts w:hint="eastAsia"/>
          <w:lang w:val="en-US" w:eastAsia="ja-JP"/>
        </w:rPr>
        <w:t>未満とし、</w:t>
      </w:r>
      <w:r>
        <w:rPr>
          <w:rFonts w:hint="eastAsia"/>
          <w:lang w:val="en-US" w:eastAsia="ja-JP"/>
        </w:rPr>
        <w:t>アートの部分</w:t>
      </w:r>
      <w:r w:rsidR="00554540">
        <w:rPr>
          <w:rFonts w:hint="eastAsia"/>
          <w:lang w:val="en-US" w:eastAsia="ja-JP"/>
        </w:rPr>
        <w:t>である「アートパネル</w:t>
      </w:r>
      <w:r w:rsidR="00554540">
        <w:rPr>
          <w:lang w:val="en-US" w:eastAsia="ja-JP"/>
        </w:rPr>
        <w:t>(Creative Panel)</w:t>
      </w:r>
      <w:r w:rsidR="00554540">
        <w:rPr>
          <w:rFonts w:hint="eastAsia"/>
          <w:lang w:val="en-US" w:eastAsia="ja-JP"/>
        </w:rPr>
        <w:t>」</w:t>
      </w:r>
      <w:r w:rsidR="00E7204D">
        <w:rPr>
          <w:rFonts w:hint="eastAsia"/>
          <w:lang w:val="en-US" w:eastAsia="ja-JP"/>
        </w:rPr>
        <w:t>の大きさ</w:t>
      </w:r>
      <w:r w:rsidRPr="00554540">
        <w:rPr>
          <w:rFonts w:hint="eastAsia"/>
          <w:lang w:val="en-US" w:eastAsia="ja-JP"/>
        </w:rPr>
        <w:t>は全長の</w:t>
      </w:r>
      <w:r w:rsidR="00554540">
        <w:rPr>
          <w:rFonts w:hint="eastAsia"/>
          <w:lang w:val="en-US" w:eastAsia="ja-JP"/>
        </w:rPr>
        <w:t>５％</w:t>
      </w:r>
      <w:r w:rsidR="00E7204D">
        <w:rPr>
          <w:rFonts w:hint="eastAsia"/>
          <w:lang w:val="en-US" w:eastAsia="ja-JP"/>
        </w:rPr>
        <w:t>以上である必要がある</w:t>
      </w:r>
      <w:r w:rsidR="00554540">
        <w:rPr>
          <w:rFonts w:hint="eastAsia"/>
          <w:lang w:val="en-US" w:eastAsia="ja-JP"/>
        </w:rPr>
        <w:t>。</w:t>
      </w:r>
    </w:p>
    <w:p w14:paraId="649B3AD0" w14:textId="453AA073" w:rsidR="00554540" w:rsidRDefault="00A05B56" w:rsidP="00554540">
      <w:pPr>
        <w:pStyle w:val="a9"/>
        <w:numPr>
          <w:ilvl w:val="0"/>
          <w:numId w:val="2"/>
        </w:numPr>
        <w:rPr>
          <w:lang w:val="en-US" w:eastAsia="ja-JP"/>
        </w:rPr>
      </w:pPr>
      <w:r>
        <w:rPr>
          <w:rFonts w:hint="eastAsia"/>
          <w:lang w:val="en-US" w:eastAsia="ja-JP"/>
        </w:rPr>
        <w:t>アート</w:t>
      </w:r>
      <w:r w:rsidR="00E7204D">
        <w:rPr>
          <w:rFonts w:hint="eastAsia"/>
          <w:lang w:val="en-US" w:eastAsia="ja-JP"/>
        </w:rPr>
        <w:t>に利活用</w:t>
      </w:r>
      <w:r>
        <w:rPr>
          <w:rFonts w:hint="eastAsia"/>
          <w:lang w:val="en-US" w:eastAsia="ja-JP"/>
        </w:rPr>
        <w:t>された遮音壁が落書きなどで破壊された場合、</w:t>
      </w:r>
      <w:r w:rsidR="00E7204D">
        <w:rPr>
          <w:rFonts w:hint="eastAsia"/>
          <w:lang w:val="en-US" w:eastAsia="ja-JP"/>
        </w:rPr>
        <w:t>又は</w:t>
      </w:r>
      <w:r>
        <w:rPr>
          <w:rFonts w:hint="eastAsia"/>
          <w:lang w:val="en-US" w:eastAsia="ja-JP"/>
        </w:rPr>
        <w:t>時間の経過に伴い劣化した場合</w:t>
      </w:r>
      <w:r w:rsidR="00E7204D">
        <w:rPr>
          <w:rFonts w:hint="eastAsia"/>
          <w:lang w:val="en-US" w:eastAsia="ja-JP"/>
        </w:rPr>
        <w:t>は</w:t>
      </w:r>
      <w:r>
        <w:rPr>
          <w:rFonts w:hint="eastAsia"/>
          <w:lang w:val="en-US" w:eastAsia="ja-JP"/>
        </w:rPr>
        <w:t>、デベロッパーは速やかにその交換を行う</w:t>
      </w:r>
      <w:r w:rsidR="00E7204D">
        <w:rPr>
          <w:rFonts w:hint="eastAsia"/>
          <w:lang w:val="en-US" w:eastAsia="ja-JP"/>
        </w:rPr>
        <w:t>必要がある。</w:t>
      </w:r>
    </w:p>
    <w:p w14:paraId="054F9A2B" w14:textId="27C154FF" w:rsidR="003637A4" w:rsidRPr="00A05B56" w:rsidRDefault="00A05B56" w:rsidP="00A05B56">
      <w:pPr>
        <w:pStyle w:val="a9"/>
        <w:numPr>
          <w:ilvl w:val="0"/>
          <w:numId w:val="2"/>
        </w:numPr>
        <w:rPr>
          <w:lang w:val="en-US" w:eastAsia="ja-JP"/>
        </w:rPr>
      </w:pPr>
      <w:r>
        <w:rPr>
          <w:rFonts w:hint="eastAsia"/>
          <w:lang w:val="en-US" w:eastAsia="ja-JP"/>
        </w:rPr>
        <w:t>アートとして</w:t>
      </w:r>
      <w:r w:rsidR="00E7204D">
        <w:rPr>
          <w:rFonts w:hint="eastAsia"/>
          <w:lang w:val="en-US" w:eastAsia="ja-JP"/>
        </w:rPr>
        <w:t>利</w:t>
      </w:r>
      <w:r>
        <w:rPr>
          <w:rFonts w:hint="eastAsia"/>
          <w:lang w:val="en-US" w:eastAsia="ja-JP"/>
        </w:rPr>
        <w:t>活用された遮音壁は</w:t>
      </w:r>
      <w:r w:rsidR="00E7204D">
        <w:rPr>
          <w:rFonts w:hint="eastAsia"/>
          <w:lang w:val="en-US" w:eastAsia="ja-JP"/>
        </w:rPr>
        <w:t>、</w:t>
      </w:r>
      <w:r w:rsidR="000F17D1">
        <w:rPr>
          <w:rFonts w:hint="eastAsia"/>
          <w:lang w:val="en-US" w:eastAsia="ja-JP"/>
        </w:rPr>
        <w:t>夜間もはっきりと見えるよう</w:t>
      </w:r>
      <w:r>
        <w:rPr>
          <w:rFonts w:hint="eastAsia"/>
          <w:lang w:val="en-US" w:eastAsia="ja-JP"/>
        </w:rPr>
        <w:t>ライトアップ</w:t>
      </w:r>
      <w:r w:rsidR="00E7204D">
        <w:rPr>
          <w:rFonts w:hint="eastAsia"/>
          <w:lang w:val="en-US" w:eastAsia="ja-JP"/>
        </w:rPr>
        <w:t>しなければならない</w:t>
      </w:r>
      <w:r w:rsidR="000F17D1">
        <w:rPr>
          <w:rFonts w:hint="eastAsia"/>
          <w:lang w:val="en-US" w:eastAsia="ja-JP"/>
        </w:rPr>
        <w:t>。</w:t>
      </w:r>
    </w:p>
    <w:p w14:paraId="331D042E" w14:textId="77777777" w:rsidR="00B03800" w:rsidRDefault="00B03800" w:rsidP="000F17D1">
      <w:pPr>
        <w:rPr>
          <w:lang w:val="en-US" w:eastAsia="ja-JP"/>
        </w:rPr>
      </w:pPr>
    </w:p>
    <w:p w14:paraId="5C04BACC" w14:textId="77777777" w:rsidR="000F17D1" w:rsidRDefault="000F17D1" w:rsidP="000F17D1">
      <w:pPr>
        <w:rPr>
          <w:lang w:val="en-US" w:eastAsia="ja-JP"/>
        </w:rPr>
      </w:pPr>
    </w:p>
    <w:p w14:paraId="70B2CFFF" w14:textId="77777777" w:rsidR="000F17D1" w:rsidRDefault="000F17D1" w:rsidP="000F17D1">
      <w:pPr>
        <w:rPr>
          <w:lang w:val="en-US" w:eastAsia="ja-JP"/>
        </w:rPr>
      </w:pPr>
    </w:p>
    <w:p w14:paraId="04A1CA46" w14:textId="77777777" w:rsidR="000F17D1" w:rsidRDefault="000F17D1" w:rsidP="000F17D1">
      <w:pPr>
        <w:rPr>
          <w:lang w:val="en-US" w:eastAsia="ja-JP"/>
        </w:rPr>
      </w:pPr>
    </w:p>
    <w:p w14:paraId="2E9243B4" w14:textId="77777777" w:rsidR="000F17D1" w:rsidRDefault="000F17D1" w:rsidP="000F17D1">
      <w:pPr>
        <w:rPr>
          <w:lang w:val="en-US" w:eastAsia="ja-JP"/>
        </w:rPr>
      </w:pPr>
    </w:p>
    <w:p w14:paraId="6BC54440" w14:textId="77777777" w:rsidR="000F17D1" w:rsidRDefault="000F17D1" w:rsidP="000F17D1">
      <w:pPr>
        <w:rPr>
          <w:lang w:val="en-US" w:eastAsia="ja-JP"/>
        </w:rPr>
      </w:pPr>
    </w:p>
    <w:p w14:paraId="45C5C1A6" w14:textId="77777777" w:rsidR="000F17D1" w:rsidRDefault="000F17D1" w:rsidP="000F17D1">
      <w:pPr>
        <w:rPr>
          <w:lang w:val="en-US" w:eastAsia="ja-JP"/>
        </w:rPr>
      </w:pPr>
    </w:p>
    <w:p w14:paraId="58E50F72" w14:textId="77777777" w:rsidR="000F17D1" w:rsidRDefault="000F17D1" w:rsidP="000F17D1">
      <w:pPr>
        <w:rPr>
          <w:lang w:val="en-US" w:eastAsia="ja-JP"/>
        </w:rPr>
      </w:pPr>
    </w:p>
    <w:p w14:paraId="03E854EA" w14:textId="77777777" w:rsidR="000F17D1" w:rsidRDefault="000F17D1" w:rsidP="000F17D1">
      <w:pPr>
        <w:rPr>
          <w:lang w:val="en-US" w:eastAsia="ja-JP"/>
        </w:rPr>
      </w:pPr>
    </w:p>
    <w:p w14:paraId="5305D0FD" w14:textId="77777777" w:rsidR="000F17D1" w:rsidRDefault="000F17D1" w:rsidP="000F17D1">
      <w:pPr>
        <w:rPr>
          <w:lang w:val="en-US" w:eastAsia="ja-JP"/>
        </w:rPr>
      </w:pPr>
    </w:p>
    <w:p w14:paraId="324A974B" w14:textId="77777777" w:rsidR="000F17D1" w:rsidRDefault="000F17D1" w:rsidP="000F17D1">
      <w:pPr>
        <w:rPr>
          <w:lang w:val="en-US" w:eastAsia="ja-JP"/>
        </w:rPr>
      </w:pPr>
    </w:p>
    <w:p w14:paraId="3BADDA07" w14:textId="77777777" w:rsidR="000F17D1" w:rsidRDefault="000F17D1" w:rsidP="000F17D1">
      <w:pPr>
        <w:rPr>
          <w:lang w:val="en-US" w:eastAsia="ja-JP"/>
        </w:rPr>
      </w:pPr>
    </w:p>
    <w:p w14:paraId="5C22A93C" w14:textId="77777777" w:rsidR="000F17D1" w:rsidRDefault="000F17D1" w:rsidP="000F17D1">
      <w:pPr>
        <w:rPr>
          <w:lang w:val="en-US" w:eastAsia="ja-JP"/>
        </w:rPr>
      </w:pPr>
    </w:p>
    <w:p w14:paraId="2EACE010" w14:textId="77777777" w:rsidR="00E7204D" w:rsidRDefault="00E7204D" w:rsidP="000F17D1">
      <w:pPr>
        <w:rPr>
          <w:lang w:val="en-US" w:eastAsia="ja-JP"/>
        </w:rPr>
      </w:pPr>
    </w:p>
    <w:p w14:paraId="18766EBE" w14:textId="77777777" w:rsidR="00E7204D" w:rsidRDefault="00E7204D" w:rsidP="000F17D1">
      <w:pPr>
        <w:rPr>
          <w:lang w:val="en-US" w:eastAsia="ja-JP"/>
        </w:rPr>
      </w:pPr>
    </w:p>
    <w:p w14:paraId="38D11EA8" w14:textId="77777777" w:rsidR="000F17D1" w:rsidRDefault="000F17D1" w:rsidP="000F17D1">
      <w:pPr>
        <w:rPr>
          <w:lang w:val="en-US" w:eastAsia="ja-JP"/>
        </w:rPr>
      </w:pPr>
    </w:p>
    <w:p w14:paraId="7F794D02" w14:textId="427B106A" w:rsidR="000F17D1" w:rsidRDefault="000F17D1" w:rsidP="000F17D1">
      <w:pPr>
        <w:rPr>
          <w:b/>
          <w:bCs/>
          <w:lang w:val="en-US" w:eastAsia="ja-JP"/>
        </w:rPr>
      </w:pPr>
      <w:r>
        <w:rPr>
          <w:rFonts w:hint="eastAsia"/>
          <w:b/>
          <w:bCs/>
          <w:lang w:val="en-US" w:eastAsia="ja-JP"/>
        </w:rPr>
        <w:lastRenderedPageBreak/>
        <w:t>【別紙２】</w:t>
      </w:r>
    </w:p>
    <w:p w14:paraId="6B8C3AFD" w14:textId="77777777" w:rsidR="000F17D1" w:rsidRDefault="000F17D1" w:rsidP="000F17D1">
      <w:pPr>
        <w:rPr>
          <w:b/>
          <w:bCs/>
          <w:lang w:val="en-US" w:eastAsia="ja-JP"/>
        </w:rPr>
      </w:pPr>
    </w:p>
    <w:p w14:paraId="7DBFE016" w14:textId="77777777" w:rsidR="000F17D1" w:rsidRDefault="000F17D1" w:rsidP="000F17D1">
      <w:pPr>
        <w:rPr>
          <w:b/>
          <w:bCs/>
          <w:lang w:val="en-US" w:eastAsia="ja-JP"/>
        </w:rPr>
      </w:pPr>
    </w:p>
    <w:p w14:paraId="4504A6A6" w14:textId="69144A1E" w:rsidR="000F17D1" w:rsidRDefault="000F17D1" w:rsidP="000F17D1">
      <w:pPr>
        <w:jc w:val="center"/>
        <w:rPr>
          <w:b/>
          <w:bCs/>
          <w:lang w:val="en-US" w:eastAsia="ja-JP"/>
        </w:rPr>
      </w:pPr>
      <w:r>
        <w:rPr>
          <w:rFonts w:hint="eastAsia"/>
          <w:b/>
          <w:bCs/>
          <w:lang w:val="en-US" w:eastAsia="ja-JP"/>
        </w:rPr>
        <w:t>遮音壁をアートとして利活用する場合の実施手続きについて</w:t>
      </w:r>
    </w:p>
    <w:p w14:paraId="359A7062" w14:textId="77777777" w:rsidR="000F17D1" w:rsidRDefault="000F17D1" w:rsidP="000F17D1">
      <w:pPr>
        <w:jc w:val="center"/>
        <w:rPr>
          <w:b/>
          <w:bCs/>
          <w:lang w:val="en-US" w:eastAsia="ja-JP"/>
        </w:rPr>
      </w:pPr>
    </w:p>
    <w:p w14:paraId="71548DD5" w14:textId="2901045C" w:rsidR="000F17D1" w:rsidRDefault="000F17D1" w:rsidP="000F17D1">
      <w:pPr>
        <w:rPr>
          <w:lang w:val="en-US" w:eastAsia="ja-JP"/>
        </w:rPr>
      </w:pPr>
      <w:r>
        <w:rPr>
          <w:rFonts w:hint="eastAsia"/>
          <w:lang w:val="en-US" w:eastAsia="ja-JP"/>
        </w:rPr>
        <w:t>１</w:t>
      </w:r>
      <w:r>
        <w:rPr>
          <w:lang w:val="en-US" w:eastAsia="ja-JP"/>
        </w:rPr>
        <w:tab/>
      </w:r>
      <w:r>
        <w:rPr>
          <w:rFonts w:hint="eastAsia"/>
          <w:lang w:val="en-US" w:eastAsia="ja-JP"/>
        </w:rPr>
        <w:t>以下</w:t>
      </w:r>
      <w:r w:rsidR="00E7204D">
        <w:rPr>
          <w:rFonts w:hint="eastAsia"/>
          <w:lang w:val="en-US" w:eastAsia="ja-JP"/>
        </w:rPr>
        <w:t>の２</w:t>
      </w:r>
      <w:r>
        <w:rPr>
          <w:rFonts w:hint="eastAsia"/>
          <w:lang w:val="en-US" w:eastAsia="ja-JP"/>
        </w:rPr>
        <w:t>種類の建設事業は、遮音壁をアートとして利活用しなければならない：</w:t>
      </w:r>
    </w:p>
    <w:p w14:paraId="1A9C887C" w14:textId="7F9D7756" w:rsidR="000F17D1" w:rsidRDefault="00B6763C" w:rsidP="00B6763C">
      <w:pPr>
        <w:ind w:left="720"/>
        <w:rPr>
          <w:lang w:val="en-US" w:eastAsia="ja-JP"/>
        </w:rPr>
      </w:pPr>
      <w:r>
        <w:rPr>
          <w:rFonts w:hint="eastAsia"/>
          <w:lang w:val="en-US" w:eastAsia="ja-JP"/>
        </w:rPr>
        <w:t>①</w:t>
      </w:r>
      <w:r>
        <w:rPr>
          <w:rFonts w:hint="eastAsia"/>
          <w:lang w:val="en-US" w:eastAsia="ja-JP"/>
        </w:rPr>
        <w:t xml:space="preserve"> </w:t>
      </w:r>
      <w:r>
        <w:rPr>
          <w:rFonts w:hint="eastAsia"/>
          <w:lang w:val="en-US" w:eastAsia="ja-JP"/>
        </w:rPr>
        <w:t>政府所有地：都市部、ジュロン地域、パヤレバー地域、ウッドランズ地域、ポンゴル地域）</w:t>
      </w:r>
    </w:p>
    <w:p w14:paraId="5B676D39" w14:textId="058682ED" w:rsidR="00B6763C" w:rsidRDefault="00B6763C" w:rsidP="00B6763C">
      <w:pPr>
        <w:ind w:left="720"/>
        <w:rPr>
          <w:lang w:val="en-US" w:eastAsia="ja-JP"/>
        </w:rPr>
      </w:pPr>
      <w:r>
        <w:rPr>
          <w:rFonts w:hint="eastAsia"/>
          <w:lang w:val="en-US" w:eastAsia="ja-JP"/>
        </w:rPr>
        <w:t>②政府省庁の建設事業：省庁の庁舎、文化的施設、コミュニティ施設など</w:t>
      </w:r>
    </w:p>
    <w:p w14:paraId="60323801" w14:textId="77777777" w:rsidR="00B6763C" w:rsidRDefault="00B6763C" w:rsidP="00B6763C">
      <w:pPr>
        <w:rPr>
          <w:lang w:val="en-US" w:eastAsia="ja-JP"/>
        </w:rPr>
      </w:pPr>
    </w:p>
    <w:p w14:paraId="4222F714" w14:textId="0F833B20" w:rsidR="00B6763C" w:rsidRDefault="00B6763C" w:rsidP="00B6763C">
      <w:pPr>
        <w:ind w:left="716" w:hanging="716"/>
        <w:rPr>
          <w:lang w:val="en-US" w:eastAsia="ja-JP"/>
        </w:rPr>
      </w:pPr>
      <w:r>
        <w:rPr>
          <w:rFonts w:hint="eastAsia"/>
          <w:lang w:val="en-US" w:eastAsia="ja-JP"/>
        </w:rPr>
        <w:t>２</w:t>
      </w:r>
      <w:r>
        <w:rPr>
          <w:lang w:val="en-US" w:eastAsia="ja-JP"/>
        </w:rPr>
        <w:tab/>
      </w:r>
      <w:r>
        <w:rPr>
          <w:rFonts w:hint="eastAsia"/>
          <w:lang w:val="en-US" w:eastAsia="ja-JP"/>
        </w:rPr>
        <w:t>遮音壁をアートとして利活用する前に、デベロッパーはシンガポール都市再開発庁に提案書を提出した上で、同庁の許可</w:t>
      </w:r>
      <w:r w:rsidR="00796495">
        <w:rPr>
          <w:lang w:val="en-US" w:eastAsia="ja-JP"/>
        </w:rPr>
        <w:t>(Provisional Permission, PP)</w:t>
      </w:r>
      <w:r>
        <w:rPr>
          <w:rFonts w:hint="eastAsia"/>
          <w:lang w:val="en-US" w:eastAsia="ja-JP"/>
        </w:rPr>
        <w:t>を申請しなければならない。</w:t>
      </w:r>
    </w:p>
    <w:p w14:paraId="7D8FB16F" w14:textId="77777777" w:rsidR="00B6763C" w:rsidRDefault="00B6763C" w:rsidP="00B6763C">
      <w:pPr>
        <w:ind w:left="716" w:hanging="716"/>
        <w:rPr>
          <w:lang w:val="en-US" w:eastAsia="ja-JP"/>
        </w:rPr>
      </w:pPr>
    </w:p>
    <w:p w14:paraId="137BB64C" w14:textId="61E93FF1" w:rsidR="00B6763C" w:rsidRDefault="00B6763C" w:rsidP="00B6763C">
      <w:pPr>
        <w:ind w:left="716" w:hanging="716"/>
        <w:rPr>
          <w:lang w:val="en-US" w:eastAsia="ja-JP"/>
        </w:rPr>
      </w:pPr>
      <w:r>
        <w:rPr>
          <w:rFonts w:hint="eastAsia"/>
          <w:lang w:val="en-US" w:eastAsia="ja-JP"/>
        </w:rPr>
        <w:t>３</w:t>
      </w:r>
      <w:r>
        <w:rPr>
          <w:lang w:val="en-US" w:eastAsia="ja-JP"/>
        </w:rPr>
        <w:tab/>
      </w:r>
      <w:r>
        <w:rPr>
          <w:rFonts w:hint="eastAsia"/>
          <w:lang w:val="en-US" w:eastAsia="ja-JP"/>
        </w:rPr>
        <w:t>提案書には、掲出する２</w:t>
      </w:r>
      <w:r w:rsidR="00E7204D">
        <w:rPr>
          <w:rFonts w:hint="eastAsia"/>
          <w:lang w:val="en-US" w:eastAsia="ja-JP"/>
        </w:rPr>
        <w:t>種類</w:t>
      </w:r>
      <w:r>
        <w:rPr>
          <w:rFonts w:hint="eastAsia"/>
          <w:lang w:val="en-US" w:eastAsia="ja-JP"/>
        </w:rPr>
        <w:t>のパネルに関する</w:t>
      </w:r>
      <w:r w:rsidR="00E7204D">
        <w:rPr>
          <w:rFonts w:hint="eastAsia"/>
          <w:lang w:val="en-US" w:eastAsia="ja-JP"/>
        </w:rPr>
        <w:t>以下の</w:t>
      </w:r>
      <w:r>
        <w:rPr>
          <w:rFonts w:hint="eastAsia"/>
          <w:lang w:val="en-US" w:eastAsia="ja-JP"/>
        </w:rPr>
        <w:t>詳細を明記しなければならない：</w:t>
      </w:r>
    </w:p>
    <w:p w14:paraId="38C8ECCA" w14:textId="0F30E052" w:rsidR="00B6763C" w:rsidRDefault="00B6763C" w:rsidP="00B6763C">
      <w:pPr>
        <w:ind w:left="716" w:hanging="716"/>
        <w:rPr>
          <w:lang w:val="en-US" w:eastAsia="ja-JP"/>
        </w:rPr>
      </w:pPr>
      <w:r>
        <w:rPr>
          <w:lang w:val="en-US" w:eastAsia="ja-JP"/>
        </w:rPr>
        <w:tab/>
      </w:r>
    </w:p>
    <w:p w14:paraId="4C44E231" w14:textId="0FEDA1AB" w:rsidR="00B6763C" w:rsidRDefault="00B6763C" w:rsidP="00B6763C">
      <w:pPr>
        <w:rPr>
          <w:lang w:val="en-US" w:eastAsia="ja-JP"/>
        </w:rPr>
      </w:pPr>
      <w:r>
        <w:rPr>
          <w:lang w:val="en-US" w:eastAsia="ja-JP"/>
        </w:rPr>
        <w:tab/>
      </w:r>
      <w:r>
        <w:rPr>
          <w:rFonts w:hint="eastAsia"/>
          <w:lang w:val="en-US" w:eastAsia="ja-JP"/>
        </w:rPr>
        <w:t>【アートパネル】</w:t>
      </w:r>
    </w:p>
    <w:p w14:paraId="3A1160E6" w14:textId="5CF8926A" w:rsidR="00B6763C" w:rsidRDefault="00B6763C" w:rsidP="00B6763C">
      <w:pPr>
        <w:pStyle w:val="a9"/>
        <w:numPr>
          <w:ilvl w:val="0"/>
          <w:numId w:val="3"/>
        </w:numPr>
        <w:rPr>
          <w:lang w:val="en-US" w:eastAsia="ja-JP"/>
        </w:rPr>
      </w:pPr>
      <w:r>
        <w:rPr>
          <w:rFonts w:hint="eastAsia"/>
          <w:lang w:val="en-US" w:eastAsia="ja-JP"/>
        </w:rPr>
        <w:t>絵画などのアート、歴史にまつわる説明文、地域の特徴を説明する内容、現地のアクセスを示す地図、緑化壁の詳細など</w:t>
      </w:r>
      <w:r w:rsidR="00E7204D">
        <w:rPr>
          <w:rFonts w:hint="eastAsia"/>
          <w:lang w:val="en-US" w:eastAsia="ja-JP"/>
        </w:rPr>
        <w:t>を</w:t>
      </w:r>
      <w:r w:rsidR="00DD6070">
        <w:rPr>
          <w:rFonts w:hint="eastAsia"/>
          <w:lang w:val="en-US" w:eastAsia="ja-JP"/>
        </w:rPr>
        <w:t>記載すること</w:t>
      </w:r>
      <w:r>
        <w:rPr>
          <w:rFonts w:hint="eastAsia"/>
          <w:lang w:val="en-US" w:eastAsia="ja-JP"/>
        </w:rPr>
        <w:t>。</w:t>
      </w:r>
    </w:p>
    <w:p w14:paraId="2C2352CB" w14:textId="6D401827" w:rsidR="00B6763C" w:rsidRDefault="00B6763C" w:rsidP="00B6763C">
      <w:pPr>
        <w:pStyle w:val="a9"/>
        <w:numPr>
          <w:ilvl w:val="0"/>
          <w:numId w:val="3"/>
        </w:numPr>
        <w:rPr>
          <w:lang w:val="en-US" w:eastAsia="ja-JP"/>
        </w:rPr>
      </w:pPr>
      <w:r>
        <w:rPr>
          <w:rFonts w:hint="eastAsia"/>
          <w:lang w:val="en-US" w:eastAsia="ja-JP"/>
        </w:rPr>
        <w:t>このパネルには、広告的な要素、例えば宣伝内容、ロゴ、電話番号や</w:t>
      </w:r>
      <w:r w:rsidR="00E7204D">
        <w:rPr>
          <w:rFonts w:hint="eastAsia"/>
          <w:lang w:val="en-US" w:eastAsia="ja-JP"/>
        </w:rPr>
        <w:t>ホームページ</w:t>
      </w:r>
      <w:r w:rsidR="00E7204D">
        <w:rPr>
          <w:rFonts w:hint="eastAsia"/>
          <w:lang w:val="en-US" w:eastAsia="ja-JP"/>
        </w:rPr>
        <w:t>URL</w:t>
      </w:r>
      <w:r w:rsidR="00E7204D">
        <w:rPr>
          <w:rFonts w:hint="eastAsia"/>
          <w:lang w:val="en-US" w:eastAsia="ja-JP"/>
        </w:rPr>
        <w:t>などを記載してはならない</w:t>
      </w:r>
      <w:r>
        <w:rPr>
          <w:rFonts w:hint="eastAsia"/>
          <w:lang w:val="en-US" w:eastAsia="ja-JP"/>
        </w:rPr>
        <w:t>。</w:t>
      </w:r>
    </w:p>
    <w:p w14:paraId="057B801A" w14:textId="35383B53" w:rsidR="00B6763C" w:rsidRDefault="00B6763C" w:rsidP="00B6763C">
      <w:pPr>
        <w:pStyle w:val="a9"/>
        <w:numPr>
          <w:ilvl w:val="0"/>
          <w:numId w:val="3"/>
        </w:numPr>
        <w:rPr>
          <w:lang w:val="en-US" w:eastAsia="ja-JP"/>
        </w:rPr>
      </w:pPr>
      <w:r>
        <w:rPr>
          <w:rFonts w:hint="eastAsia"/>
          <w:lang w:val="en-US" w:eastAsia="ja-JP"/>
        </w:rPr>
        <w:t>芸術家によるアートの場合、該当芸術家の氏名、アートの表題、簡単な説明文や</w:t>
      </w:r>
      <w:r>
        <w:rPr>
          <w:lang w:val="en-US" w:eastAsia="ja-JP"/>
        </w:rPr>
        <w:t>Q</w:t>
      </w:r>
      <w:r>
        <w:rPr>
          <w:rFonts w:hint="eastAsia"/>
          <w:lang w:val="en-US" w:eastAsia="ja-JP"/>
        </w:rPr>
        <w:t xml:space="preserve"> R</w:t>
      </w:r>
      <w:r>
        <w:rPr>
          <w:rFonts w:hint="eastAsia"/>
          <w:lang w:val="en-US" w:eastAsia="ja-JP"/>
        </w:rPr>
        <w:t>コードなどを</w:t>
      </w:r>
      <w:r w:rsidR="00E7204D">
        <w:rPr>
          <w:rFonts w:hint="eastAsia"/>
          <w:lang w:val="en-US" w:eastAsia="ja-JP"/>
        </w:rPr>
        <w:t>記載する</w:t>
      </w:r>
      <w:r>
        <w:rPr>
          <w:rFonts w:hint="eastAsia"/>
          <w:lang w:val="en-US" w:eastAsia="ja-JP"/>
        </w:rPr>
        <w:t>こと。</w:t>
      </w:r>
    </w:p>
    <w:p w14:paraId="4CB3C7B2" w14:textId="77777777" w:rsidR="00B6763C" w:rsidRDefault="00B6763C" w:rsidP="00B6763C">
      <w:pPr>
        <w:ind w:left="720"/>
        <w:rPr>
          <w:lang w:val="en-US" w:eastAsia="ja-JP"/>
        </w:rPr>
      </w:pPr>
    </w:p>
    <w:p w14:paraId="1C7D2CB7" w14:textId="342FFCB0" w:rsidR="00B6763C" w:rsidRDefault="00B6763C" w:rsidP="00B6763C">
      <w:pPr>
        <w:ind w:left="720"/>
        <w:rPr>
          <w:lang w:val="en-US" w:eastAsia="ja-JP"/>
        </w:rPr>
      </w:pPr>
      <w:r>
        <w:rPr>
          <w:rFonts w:hint="eastAsia"/>
          <w:lang w:val="en-US" w:eastAsia="ja-JP"/>
        </w:rPr>
        <w:t>【事業パネル】</w:t>
      </w:r>
    </w:p>
    <w:p w14:paraId="3320D16B" w14:textId="06B72B55" w:rsidR="00B6763C" w:rsidRDefault="00B6763C" w:rsidP="00B6763C">
      <w:pPr>
        <w:pStyle w:val="a9"/>
        <w:numPr>
          <w:ilvl w:val="0"/>
          <w:numId w:val="4"/>
        </w:numPr>
        <w:rPr>
          <w:lang w:val="en-US" w:eastAsia="ja-JP"/>
        </w:rPr>
      </w:pPr>
      <w:r>
        <w:rPr>
          <w:rFonts w:hint="eastAsia"/>
          <w:lang w:val="en-US" w:eastAsia="ja-JP"/>
        </w:rPr>
        <w:t>シンガポール建設建築庁</w:t>
      </w:r>
      <w:r>
        <w:rPr>
          <w:lang w:val="en-US" w:eastAsia="ja-JP"/>
        </w:rPr>
        <w:t>(Building and Construction Authority, BCA)</w:t>
      </w:r>
      <w:r>
        <w:rPr>
          <w:rFonts w:hint="eastAsia"/>
          <w:lang w:val="en-US" w:eastAsia="ja-JP"/>
        </w:rPr>
        <w:t>に対し申請を行う必要があり、</w:t>
      </w:r>
      <w:r>
        <w:rPr>
          <w:lang w:val="en-US" w:eastAsia="ja-JP"/>
        </w:rPr>
        <w:t>BCA</w:t>
      </w:r>
      <w:r>
        <w:rPr>
          <w:rFonts w:hint="eastAsia"/>
          <w:lang w:val="en-US" w:eastAsia="ja-JP"/>
        </w:rPr>
        <w:t>が定めた基準に沿って掲出しなければならない。</w:t>
      </w:r>
    </w:p>
    <w:p w14:paraId="50E3B815" w14:textId="391D4A16" w:rsidR="00B6763C" w:rsidRPr="00B6763C" w:rsidRDefault="00796495" w:rsidP="00B6763C">
      <w:pPr>
        <w:pStyle w:val="a9"/>
        <w:numPr>
          <w:ilvl w:val="0"/>
          <w:numId w:val="4"/>
        </w:numPr>
        <w:rPr>
          <w:lang w:val="en-US" w:eastAsia="ja-JP"/>
        </w:rPr>
      </w:pPr>
      <w:r>
        <w:rPr>
          <w:rFonts w:hint="eastAsia"/>
          <w:lang w:val="en-US" w:eastAsia="ja-JP"/>
        </w:rPr>
        <w:t>このパネルには、会社名、ロゴ、建設事業の名前、完成予定時期などの事業詳細を</w:t>
      </w:r>
      <w:r w:rsidR="00DD6070">
        <w:rPr>
          <w:rFonts w:hint="eastAsia"/>
          <w:lang w:val="en-US" w:eastAsia="ja-JP"/>
        </w:rPr>
        <w:t>記載する必要がある</w:t>
      </w:r>
      <w:r>
        <w:rPr>
          <w:rFonts w:hint="eastAsia"/>
          <w:lang w:val="en-US" w:eastAsia="ja-JP"/>
        </w:rPr>
        <w:t>。</w:t>
      </w:r>
    </w:p>
    <w:p w14:paraId="5805BA22" w14:textId="77777777" w:rsidR="00B6763C" w:rsidRDefault="00B6763C" w:rsidP="00B6763C">
      <w:pPr>
        <w:ind w:left="716" w:hanging="716"/>
        <w:rPr>
          <w:lang w:val="en-US" w:eastAsia="ja-JP"/>
        </w:rPr>
      </w:pPr>
    </w:p>
    <w:p w14:paraId="1CB667E0" w14:textId="77777777" w:rsidR="00B6763C" w:rsidRDefault="00B6763C" w:rsidP="00B6763C">
      <w:pPr>
        <w:rPr>
          <w:lang w:val="en-US" w:eastAsia="ja-JP"/>
        </w:rPr>
      </w:pPr>
    </w:p>
    <w:p w14:paraId="60E300AB" w14:textId="77777777" w:rsidR="00B6763C" w:rsidRDefault="00B6763C" w:rsidP="000F17D1">
      <w:pPr>
        <w:rPr>
          <w:lang w:val="en-US" w:eastAsia="ja-JP"/>
        </w:rPr>
      </w:pPr>
    </w:p>
    <w:p w14:paraId="116D0B79" w14:textId="77777777" w:rsidR="000F17D1" w:rsidRPr="000F17D1" w:rsidRDefault="000F17D1" w:rsidP="000F17D1">
      <w:pPr>
        <w:rPr>
          <w:lang w:val="en-US" w:eastAsia="ja-JP"/>
        </w:rPr>
      </w:pPr>
    </w:p>
    <w:p w14:paraId="7FA8E820" w14:textId="77777777" w:rsidR="000F17D1" w:rsidRDefault="000F17D1" w:rsidP="000F17D1">
      <w:pPr>
        <w:rPr>
          <w:lang w:val="en-US" w:eastAsia="ja-JP"/>
        </w:rPr>
      </w:pPr>
    </w:p>
    <w:p w14:paraId="1D0A2DFD" w14:textId="4050835D" w:rsidR="000F17D1" w:rsidRPr="00085359" w:rsidRDefault="00085359" w:rsidP="000F17D1">
      <w:pPr>
        <w:rPr>
          <w:b/>
          <w:bCs/>
          <w:lang w:val="en-US" w:eastAsia="ja-JP"/>
        </w:rPr>
      </w:pPr>
      <w:r w:rsidRPr="00085359">
        <w:rPr>
          <w:rFonts w:hint="eastAsia"/>
          <w:b/>
          <w:bCs/>
          <w:lang w:val="en-US" w:eastAsia="ja-JP"/>
        </w:rPr>
        <w:t>参考資料：</w:t>
      </w:r>
    </w:p>
    <w:p w14:paraId="2D65F5CF" w14:textId="77777777" w:rsidR="00085359" w:rsidRPr="00085359" w:rsidRDefault="00085359" w:rsidP="00085359">
      <w:pPr>
        <w:pStyle w:val="a9"/>
        <w:rPr>
          <w:lang w:val="en-US" w:eastAsia="ja-JP"/>
        </w:rPr>
      </w:pPr>
    </w:p>
    <w:tbl>
      <w:tblPr>
        <w:tblW w:w="9060" w:type="dxa"/>
        <w:tblLook w:val="04A0" w:firstRow="1" w:lastRow="0" w:firstColumn="1" w:lastColumn="0" w:noHBand="0" w:noVBand="1"/>
      </w:tblPr>
      <w:tblGrid>
        <w:gridCol w:w="560"/>
        <w:gridCol w:w="8500"/>
      </w:tblGrid>
      <w:tr w:rsidR="00085359" w:rsidRPr="00085359" w14:paraId="29B42C6A" w14:textId="77777777" w:rsidTr="00085359">
        <w:trPr>
          <w:trHeight w:val="300"/>
        </w:trPr>
        <w:tc>
          <w:tcPr>
            <w:tcW w:w="560" w:type="dxa"/>
            <w:tcBorders>
              <w:top w:val="nil"/>
              <w:left w:val="nil"/>
              <w:bottom w:val="nil"/>
              <w:right w:val="nil"/>
            </w:tcBorders>
            <w:shd w:val="clear" w:color="auto" w:fill="auto"/>
            <w:noWrap/>
            <w:vAlign w:val="center"/>
            <w:hideMark/>
          </w:tcPr>
          <w:p w14:paraId="00D88ED8" w14:textId="77777777" w:rsidR="00085359" w:rsidRPr="00085359" w:rsidRDefault="00085359" w:rsidP="00085359">
            <w:pPr>
              <w:rPr>
                <w:rFonts w:ascii="Times New Roman" w:eastAsia="Times New Roman" w:hAnsi="Times New Roman" w:cs="Times New Roman"/>
                <w:kern w:val="0"/>
                <w:sz w:val="24"/>
                <w14:ligatures w14:val="none"/>
              </w:rPr>
            </w:pPr>
          </w:p>
        </w:tc>
        <w:tc>
          <w:tcPr>
            <w:tcW w:w="8500" w:type="dxa"/>
            <w:tcBorders>
              <w:top w:val="nil"/>
              <w:left w:val="nil"/>
              <w:bottom w:val="nil"/>
              <w:right w:val="nil"/>
            </w:tcBorders>
            <w:shd w:val="clear" w:color="auto" w:fill="auto"/>
            <w:vAlign w:val="center"/>
            <w:hideMark/>
          </w:tcPr>
          <w:p w14:paraId="6920B4A4" w14:textId="0DB44CFE" w:rsidR="00085359" w:rsidRDefault="00085359" w:rsidP="00085359">
            <w:pPr>
              <w:rPr>
                <w:rStyle w:val="ad"/>
                <w:rFonts w:ascii="Aptos Narrow" w:eastAsia="Times New Roman" w:hAnsi="Aptos Narrow" w:cs="Times New Roman"/>
                <w:kern w:val="0"/>
                <w:szCs w:val="22"/>
                <w14:ligatures w14:val="none"/>
              </w:rPr>
            </w:pPr>
            <w:hyperlink r:id="rId7" w:history="1">
              <w:r w:rsidRPr="00085359">
                <w:rPr>
                  <w:rStyle w:val="ad"/>
                  <w:rFonts w:ascii="Aptos Narrow" w:eastAsia="Times New Roman" w:hAnsi="Aptos Narrow" w:cs="Times New Roman"/>
                  <w:kern w:val="0"/>
                  <w:szCs w:val="22"/>
                  <w14:ligatures w14:val="none"/>
                </w:rPr>
                <w:t>https://www.mnd.gov.sg/newsroom/parliament-matters/q-as/view/written-answer-by-ministry-of-national-development-on-update-on-status-of-ura-s-design-guidelines-and-good-practice-guide-for-creative-hoardings</w:t>
              </w:r>
            </w:hyperlink>
          </w:p>
          <w:p w14:paraId="7B7FAA64" w14:textId="77777777" w:rsidR="00145DFF" w:rsidRDefault="00145DFF" w:rsidP="00085359">
            <w:pPr>
              <w:rPr>
                <w:rFonts w:ascii="Aptos Narrow" w:eastAsia="Times New Roman" w:hAnsi="Aptos Narrow" w:cs="Times New Roman"/>
                <w:color w:val="000000"/>
                <w:kern w:val="0"/>
                <w:szCs w:val="22"/>
                <w14:ligatures w14:val="none"/>
              </w:rPr>
            </w:pPr>
          </w:p>
          <w:p w14:paraId="0EECB3A3" w14:textId="77777777" w:rsidR="00085359" w:rsidRPr="00085359" w:rsidRDefault="00085359" w:rsidP="00085359">
            <w:pPr>
              <w:rPr>
                <w:rFonts w:ascii="Aptos Narrow" w:eastAsia="Times New Roman" w:hAnsi="Aptos Narrow" w:cs="Times New Roman"/>
                <w:color w:val="000000"/>
                <w:kern w:val="0"/>
                <w:szCs w:val="22"/>
                <w14:ligatures w14:val="none"/>
              </w:rPr>
            </w:pPr>
          </w:p>
        </w:tc>
      </w:tr>
      <w:tr w:rsidR="00085359" w:rsidRPr="00085359" w14:paraId="5797850C" w14:textId="77777777" w:rsidTr="00085359">
        <w:trPr>
          <w:trHeight w:val="300"/>
        </w:trPr>
        <w:tc>
          <w:tcPr>
            <w:tcW w:w="560" w:type="dxa"/>
            <w:tcBorders>
              <w:top w:val="nil"/>
              <w:left w:val="nil"/>
              <w:bottom w:val="nil"/>
              <w:right w:val="nil"/>
            </w:tcBorders>
            <w:shd w:val="clear" w:color="auto" w:fill="auto"/>
            <w:noWrap/>
            <w:vAlign w:val="center"/>
            <w:hideMark/>
          </w:tcPr>
          <w:p w14:paraId="0018A655" w14:textId="77777777" w:rsidR="00085359" w:rsidRPr="00085359" w:rsidRDefault="00085359" w:rsidP="00085359">
            <w:pPr>
              <w:rPr>
                <w:rFonts w:ascii="Aptos Narrow" w:eastAsia="Times New Roman" w:hAnsi="Aptos Narrow" w:cs="Times New Roman"/>
                <w:color w:val="000000"/>
                <w:kern w:val="0"/>
                <w:szCs w:val="22"/>
                <w14:ligatures w14:val="none"/>
              </w:rPr>
            </w:pPr>
          </w:p>
        </w:tc>
        <w:tc>
          <w:tcPr>
            <w:tcW w:w="8500" w:type="dxa"/>
            <w:tcBorders>
              <w:top w:val="nil"/>
              <w:left w:val="nil"/>
              <w:bottom w:val="nil"/>
              <w:right w:val="nil"/>
            </w:tcBorders>
            <w:shd w:val="clear" w:color="auto" w:fill="auto"/>
            <w:vAlign w:val="center"/>
            <w:hideMark/>
          </w:tcPr>
          <w:p w14:paraId="189FFBE5" w14:textId="21C3CC62" w:rsidR="00085359" w:rsidRDefault="00085359" w:rsidP="00085359">
            <w:hyperlink r:id="rId8" w:history="1">
              <w:r w:rsidRPr="00085359">
                <w:rPr>
                  <w:rStyle w:val="ad"/>
                  <w:rFonts w:ascii="Aptos Narrow" w:eastAsia="Times New Roman" w:hAnsi="Aptos Narrow" w:cs="Times New Roman"/>
                  <w:kern w:val="0"/>
                  <w:szCs w:val="22"/>
                  <w14:ligatures w14:val="none"/>
                </w:rPr>
                <w:t>https://www.ura.gov.sg/-/</w:t>
              </w:r>
              <w:r w:rsidRPr="00085359">
                <w:rPr>
                  <w:rStyle w:val="ad"/>
                  <w:rFonts w:ascii="Aptos Narrow" w:eastAsia="Times New Roman" w:hAnsi="Aptos Narrow" w:cs="Times New Roman"/>
                  <w:kern w:val="0"/>
                  <w:szCs w:val="22"/>
                  <w14:ligatures w14:val="none"/>
                </w:rPr>
                <w:t>m</w:t>
              </w:r>
              <w:r w:rsidRPr="00085359">
                <w:rPr>
                  <w:rStyle w:val="ad"/>
                  <w:rFonts w:ascii="Aptos Narrow" w:eastAsia="Times New Roman" w:hAnsi="Aptos Narrow" w:cs="Times New Roman"/>
                  <w:kern w:val="0"/>
                  <w:szCs w:val="22"/>
                  <w14:ligatures w14:val="none"/>
                </w:rPr>
                <w:t>edia/Corporate/Get-Involved/Enliven-Public-Spaces/Create-more-well-designed-spaces/URA-Creative-Hoarding-Guide.pdf</w:t>
              </w:r>
            </w:hyperlink>
          </w:p>
          <w:p w14:paraId="1CF7DD3D" w14:textId="77777777" w:rsidR="00054D93" w:rsidRDefault="00054D93" w:rsidP="00085359">
            <w:pPr>
              <w:rPr>
                <w:rFonts w:ascii="Aptos Narrow" w:eastAsia="Times New Roman" w:hAnsi="Aptos Narrow" w:cs="Times New Roman"/>
                <w:color w:val="467886"/>
                <w:kern w:val="0"/>
                <w:szCs w:val="22"/>
                <w:u w:val="single"/>
                <w14:ligatures w14:val="none"/>
              </w:rPr>
            </w:pPr>
          </w:p>
          <w:p w14:paraId="4CB1AF1B" w14:textId="77777777" w:rsidR="00085359" w:rsidRPr="00085359" w:rsidRDefault="00085359" w:rsidP="00085359">
            <w:pPr>
              <w:rPr>
                <w:rFonts w:ascii="Aptos Narrow" w:eastAsia="Times New Roman" w:hAnsi="Aptos Narrow" w:cs="Times New Roman"/>
                <w:color w:val="467886"/>
                <w:kern w:val="0"/>
                <w:szCs w:val="22"/>
                <w:u w:val="single"/>
                <w14:ligatures w14:val="none"/>
              </w:rPr>
            </w:pPr>
          </w:p>
        </w:tc>
      </w:tr>
      <w:tr w:rsidR="00085359" w:rsidRPr="00085359" w14:paraId="1A3E9D86" w14:textId="77777777" w:rsidTr="00085359">
        <w:trPr>
          <w:trHeight w:val="300"/>
        </w:trPr>
        <w:tc>
          <w:tcPr>
            <w:tcW w:w="560" w:type="dxa"/>
            <w:tcBorders>
              <w:top w:val="nil"/>
              <w:left w:val="nil"/>
              <w:bottom w:val="nil"/>
              <w:right w:val="nil"/>
            </w:tcBorders>
            <w:shd w:val="clear" w:color="auto" w:fill="auto"/>
            <w:noWrap/>
            <w:vAlign w:val="center"/>
            <w:hideMark/>
          </w:tcPr>
          <w:p w14:paraId="6AD8123F" w14:textId="77777777" w:rsidR="00085359" w:rsidRPr="00085359" w:rsidRDefault="00085359" w:rsidP="00085359">
            <w:pPr>
              <w:rPr>
                <w:rFonts w:ascii="Aptos Narrow" w:eastAsia="Times New Roman" w:hAnsi="Aptos Narrow" w:cs="Times New Roman"/>
                <w:color w:val="467886"/>
                <w:kern w:val="0"/>
                <w:szCs w:val="22"/>
                <w:u w:val="single"/>
                <w14:ligatures w14:val="none"/>
              </w:rPr>
            </w:pPr>
          </w:p>
        </w:tc>
        <w:tc>
          <w:tcPr>
            <w:tcW w:w="8500" w:type="dxa"/>
            <w:tcBorders>
              <w:top w:val="nil"/>
              <w:left w:val="nil"/>
              <w:bottom w:val="nil"/>
              <w:right w:val="nil"/>
            </w:tcBorders>
            <w:shd w:val="clear" w:color="auto" w:fill="auto"/>
            <w:noWrap/>
            <w:vAlign w:val="center"/>
            <w:hideMark/>
          </w:tcPr>
          <w:p w14:paraId="5AD3F6A7" w14:textId="77777777" w:rsidR="00085359" w:rsidRDefault="00085359" w:rsidP="00085359">
            <w:pPr>
              <w:rPr>
                <w:rFonts w:ascii="Aptos Narrow" w:eastAsia="Times New Roman" w:hAnsi="Aptos Narrow" w:cs="Times New Roman"/>
                <w:color w:val="467886"/>
                <w:kern w:val="0"/>
                <w:szCs w:val="22"/>
                <w:u w:val="single"/>
                <w14:ligatures w14:val="none"/>
              </w:rPr>
            </w:pPr>
            <w:hyperlink r:id="rId9" w:history="1">
              <w:r w:rsidRPr="00085359">
                <w:rPr>
                  <w:rFonts w:ascii="Aptos Narrow" w:eastAsia="Times New Roman" w:hAnsi="Aptos Narrow" w:cs="Times New Roman"/>
                  <w:color w:val="467886"/>
                  <w:kern w:val="0"/>
                  <w:szCs w:val="22"/>
                  <w:u w:val="single"/>
                  <w14:ligatures w14:val="none"/>
                </w:rPr>
                <w:t>https://www.ura.gov.sg/Corporate/Guide</w:t>
              </w:r>
              <w:r w:rsidRPr="00085359">
                <w:rPr>
                  <w:rFonts w:ascii="Aptos Narrow" w:eastAsia="Times New Roman" w:hAnsi="Aptos Narrow" w:cs="Times New Roman"/>
                  <w:color w:val="467886"/>
                  <w:kern w:val="0"/>
                  <w:szCs w:val="22"/>
                  <w:u w:val="single"/>
                  <w14:ligatures w14:val="none"/>
                </w:rPr>
                <w:t>l</w:t>
              </w:r>
              <w:r w:rsidRPr="00085359">
                <w:rPr>
                  <w:rFonts w:ascii="Aptos Narrow" w:eastAsia="Times New Roman" w:hAnsi="Aptos Narrow" w:cs="Times New Roman"/>
                  <w:color w:val="467886"/>
                  <w:kern w:val="0"/>
                  <w:szCs w:val="22"/>
                  <w:u w:val="single"/>
                  <w14:ligatures w14:val="none"/>
                </w:rPr>
                <w:t>ines/Circulars/dc09-20</w:t>
              </w:r>
            </w:hyperlink>
          </w:p>
          <w:p w14:paraId="6DE7D600" w14:textId="77777777" w:rsidR="00085359" w:rsidRDefault="00085359" w:rsidP="00085359">
            <w:pPr>
              <w:rPr>
                <w:rFonts w:ascii="Aptos Narrow" w:eastAsia="Times New Roman" w:hAnsi="Aptos Narrow" w:cs="Times New Roman"/>
                <w:color w:val="467886"/>
                <w:kern w:val="0"/>
                <w:szCs w:val="22"/>
                <w:u w:val="single"/>
                <w14:ligatures w14:val="none"/>
              </w:rPr>
            </w:pPr>
          </w:p>
          <w:p w14:paraId="73EE4F6F" w14:textId="7AF162E3" w:rsidR="00085359" w:rsidRDefault="00085359" w:rsidP="00085359">
            <w:pPr>
              <w:rPr>
                <w:rFonts w:ascii="Aptos Narrow" w:eastAsia="Times New Roman" w:hAnsi="Aptos Narrow" w:cs="Times New Roman"/>
                <w:color w:val="467886"/>
                <w:kern w:val="0"/>
                <w:szCs w:val="22"/>
                <w:u w:val="single"/>
                <w14:ligatures w14:val="none"/>
              </w:rPr>
            </w:pPr>
            <w:hyperlink r:id="rId10" w:history="1">
              <w:r w:rsidRPr="00BE023B">
                <w:rPr>
                  <w:rStyle w:val="ad"/>
                  <w:rFonts w:ascii="Aptos Narrow" w:eastAsia="Times New Roman" w:hAnsi="Aptos Narrow" w:cs="Times New Roman"/>
                  <w:kern w:val="0"/>
                  <w:szCs w:val="22"/>
                  <w14:ligatures w14:val="none"/>
                </w:rPr>
                <w:t>https://sso.agc.gov.sg/SL/BCA1989-RG6?DocDate=20050901</w:t>
              </w:r>
            </w:hyperlink>
          </w:p>
          <w:p w14:paraId="7E40E282" w14:textId="6BEF2A26" w:rsidR="00085359" w:rsidRPr="00085359" w:rsidRDefault="00085359" w:rsidP="00085359">
            <w:pPr>
              <w:rPr>
                <w:rFonts w:ascii="Aptos Narrow" w:eastAsia="Times New Roman" w:hAnsi="Aptos Narrow" w:cs="Times New Roman"/>
                <w:color w:val="467886"/>
                <w:kern w:val="0"/>
                <w:szCs w:val="22"/>
                <w:u w:val="single"/>
                <w14:ligatures w14:val="none"/>
              </w:rPr>
            </w:pPr>
          </w:p>
        </w:tc>
      </w:tr>
    </w:tbl>
    <w:p w14:paraId="19227D21" w14:textId="77777777" w:rsidR="00085359" w:rsidRPr="00085359" w:rsidRDefault="00085359" w:rsidP="00085359">
      <w:pPr>
        <w:pStyle w:val="a9"/>
        <w:rPr>
          <w:lang w:val="en-US" w:eastAsia="ja-JP"/>
        </w:rPr>
      </w:pPr>
    </w:p>
    <w:sectPr w:rsidR="00085359" w:rsidRPr="00085359" w:rsidSect="00DB1AF5">
      <w:footerReference w:type="even"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706FF" w14:textId="77777777" w:rsidR="00B0676B" w:rsidRDefault="00B0676B" w:rsidP="000F17D1">
      <w:r>
        <w:separator/>
      </w:r>
    </w:p>
  </w:endnote>
  <w:endnote w:type="continuationSeparator" w:id="0">
    <w:p w14:paraId="0D595B8B" w14:textId="77777777" w:rsidR="00B0676B" w:rsidRDefault="00B0676B" w:rsidP="000F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Body CS)">
    <w:altName w:val="Times New Roman"/>
    <w:charset w:val="00"/>
    <w:family w:val="roman"/>
    <w:pitch w:val="default"/>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1270076506"/>
      <w:docPartObj>
        <w:docPartGallery w:val="Page Numbers (Bottom of Page)"/>
        <w:docPartUnique/>
      </w:docPartObj>
    </w:sdtPr>
    <w:sdtEndPr>
      <w:rPr>
        <w:rStyle w:val="ac"/>
      </w:rPr>
    </w:sdtEndPr>
    <w:sdtContent>
      <w:p w14:paraId="42C9F770" w14:textId="31D8BEF4" w:rsidR="000F17D1" w:rsidRDefault="000F17D1" w:rsidP="002549E5">
        <w:pPr>
          <w:pStyle w:val="aa"/>
          <w:framePr w:wrap="none" w:vAnchor="text" w:hAnchor="margin" w:xAlign="right" w:y="1"/>
          <w:rPr>
            <w:rStyle w:val="ac"/>
          </w:rPr>
        </w:pPr>
        <w:r>
          <w:rPr>
            <w:rStyle w:val="ac"/>
          </w:rPr>
          <w:fldChar w:fldCharType="begin"/>
        </w:r>
        <w:r>
          <w:rPr>
            <w:rStyle w:val="ac"/>
          </w:rPr>
          <w:instrText xml:space="preserve"> PAGE </w:instrText>
        </w:r>
        <w:r>
          <w:rPr>
            <w:rStyle w:val="ac"/>
          </w:rPr>
          <w:fldChar w:fldCharType="end"/>
        </w:r>
      </w:p>
    </w:sdtContent>
  </w:sdt>
  <w:p w14:paraId="0EB4A27B" w14:textId="77777777" w:rsidR="000F17D1" w:rsidRDefault="000F17D1" w:rsidP="000F17D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2021464630"/>
      <w:docPartObj>
        <w:docPartGallery w:val="Page Numbers (Bottom of Page)"/>
        <w:docPartUnique/>
      </w:docPartObj>
    </w:sdtPr>
    <w:sdtEndPr>
      <w:rPr>
        <w:rStyle w:val="ac"/>
      </w:rPr>
    </w:sdtEndPr>
    <w:sdtContent>
      <w:p w14:paraId="2804DF33" w14:textId="28596FF5" w:rsidR="000F17D1" w:rsidRDefault="000F17D1" w:rsidP="002549E5">
        <w:pPr>
          <w:pStyle w:val="aa"/>
          <w:framePr w:wrap="none" w:vAnchor="text" w:hAnchor="margin" w:xAlign="right" w:y="1"/>
          <w:rPr>
            <w:rStyle w:val="ac"/>
          </w:rPr>
        </w:pPr>
        <w:r>
          <w:rPr>
            <w:rStyle w:val="ac"/>
          </w:rPr>
          <w:fldChar w:fldCharType="begin"/>
        </w:r>
        <w:r>
          <w:rPr>
            <w:rStyle w:val="ac"/>
          </w:rPr>
          <w:instrText xml:space="preserve"> PAGE </w:instrText>
        </w:r>
        <w:r>
          <w:rPr>
            <w:rStyle w:val="ac"/>
          </w:rPr>
          <w:fldChar w:fldCharType="separate"/>
        </w:r>
        <w:r>
          <w:rPr>
            <w:rStyle w:val="ac"/>
            <w:noProof/>
          </w:rPr>
          <w:t>1</w:t>
        </w:r>
        <w:r>
          <w:rPr>
            <w:rStyle w:val="ac"/>
          </w:rPr>
          <w:fldChar w:fldCharType="end"/>
        </w:r>
      </w:p>
    </w:sdtContent>
  </w:sdt>
  <w:p w14:paraId="768A0593" w14:textId="77777777" w:rsidR="000F17D1" w:rsidRDefault="000F17D1" w:rsidP="000F17D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B241B" w14:textId="77777777" w:rsidR="00B0676B" w:rsidRDefault="00B0676B" w:rsidP="000F17D1">
      <w:r>
        <w:separator/>
      </w:r>
    </w:p>
  </w:footnote>
  <w:footnote w:type="continuationSeparator" w:id="0">
    <w:p w14:paraId="77C83FDC" w14:textId="77777777" w:rsidR="00B0676B" w:rsidRDefault="00B0676B" w:rsidP="000F17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330FF8"/>
    <w:multiLevelType w:val="hybridMultilevel"/>
    <w:tmpl w:val="B93A8F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6634F72"/>
    <w:multiLevelType w:val="hybridMultilevel"/>
    <w:tmpl w:val="DAE4DD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9626A0B"/>
    <w:multiLevelType w:val="hybridMultilevel"/>
    <w:tmpl w:val="0672B5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61F662E9"/>
    <w:multiLevelType w:val="hybridMultilevel"/>
    <w:tmpl w:val="93B61E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BD793A"/>
    <w:multiLevelType w:val="hybridMultilevel"/>
    <w:tmpl w:val="EC5E6B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7D5A33AC"/>
    <w:multiLevelType w:val="hybridMultilevel"/>
    <w:tmpl w:val="FCBC7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33068137">
    <w:abstractNumId w:val="1"/>
  </w:num>
  <w:num w:numId="2" w16cid:durableId="311982362">
    <w:abstractNumId w:val="0"/>
  </w:num>
  <w:num w:numId="3" w16cid:durableId="1047922886">
    <w:abstractNumId w:val="2"/>
  </w:num>
  <w:num w:numId="4" w16cid:durableId="57287671">
    <w:abstractNumId w:val="4"/>
  </w:num>
  <w:num w:numId="5" w16cid:durableId="1296911468">
    <w:abstractNumId w:val="5"/>
  </w:num>
  <w:num w:numId="6" w16cid:durableId="12599486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B2B"/>
    <w:rsid w:val="00054D93"/>
    <w:rsid w:val="000562EA"/>
    <w:rsid w:val="00085359"/>
    <w:rsid w:val="000A2E98"/>
    <w:rsid w:val="000E58DA"/>
    <w:rsid w:val="000F17D1"/>
    <w:rsid w:val="00145DFF"/>
    <w:rsid w:val="001A00A8"/>
    <w:rsid w:val="001E668D"/>
    <w:rsid w:val="002755D0"/>
    <w:rsid w:val="002B2409"/>
    <w:rsid w:val="002C2C4B"/>
    <w:rsid w:val="003637A4"/>
    <w:rsid w:val="00554540"/>
    <w:rsid w:val="005A25F8"/>
    <w:rsid w:val="00660CD9"/>
    <w:rsid w:val="00677764"/>
    <w:rsid w:val="00796495"/>
    <w:rsid w:val="007E5563"/>
    <w:rsid w:val="007F4445"/>
    <w:rsid w:val="00805548"/>
    <w:rsid w:val="00863046"/>
    <w:rsid w:val="00A0583B"/>
    <w:rsid w:val="00A05B56"/>
    <w:rsid w:val="00A06585"/>
    <w:rsid w:val="00B03800"/>
    <w:rsid w:val="00B0676B"/>
    <w:rsid w:val="00B6763C"/>
    <w:rsid w:val="00BA5B2B"/>
    <w:rsid w:val="00BF49C6"/>
    <w:rsid w:val="00CC18EE"/>
    <w:rsid w:val="00D30CBC"/>
    <w:rsid w:val="00D37B47"/>
    <w:rsid w:val="00D834F9"/>
    <w:rsid w:val="00DB1AF5"/>
    <w:rsid w:val="00DD6070"/>
    <w:rsid w:val="00E7204D"/>
    <w:rsid w:val="00E7644F"/>
    <w:rsid w:val="00E925E7"/>
    <w:rsid w:val="00EB4677"/>
    <w:rsid w:val="00F11731"/>
    <w:rsid w:val="00F46602"/>
    <w:rsid w:val="00F75A21"/>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96CF3"/>
  <w15:chartTrackingRefBased/>
  <w15:docId w15:val="{C0FB938F-1F93-9A4A-97AA-6CCACDA8A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ＭＳ 明朝" w:hAnsi="Arial" w:cs="Times New Roman (Body CS)"/>
        <w:kern w:val="2"/>
        <w:sz w:val="22"/>
        <w:szCs w:val="24"/>
        <w:lang w:val="en-SG"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A5B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BA5B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BA5B2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BA5B2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BA5B2B"/>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BA5B2B"/>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BA5B2B"/>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BA5B2B"/>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BA5B2B"/>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A5B2B"/>
    <w:rPr>
      <w:rFonts w:asciiTheme="majorHAnsi" w:eastAsiaTheme="majorEastAsia" w:hAnsiTheme="majorHAnsi" w:cstheme="majorBidi"/>
      <w:color w:val="0F4761" w:themeColor="accent1" w:themeShade="BF"/>
      <w:sz w:val="40"/>
      <w:szCs w:val="40"/>
    </w:rPr>
  </w:style>
  <w:style w:type="character" w:customStyle="1" w:styleId="20">
    <w:name w:val="見出し 2 (文字)"/>
    <w:basedOn w:val="a0"/>
    <w:link w:val="2"/>
    <w:uiPriority w:val="9"/>
    <w:semiHidden/>
    <w:rsid w:val="00BA5B2B"/>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0"/>
    <w:link w:val="3"/>
    <w:uiPriority w:val="9"/>
    <w:semiHidden/>
    <w:rsid w:val="00BA5B2B"/>
    <w:rPr>
      <w:rFonts w:asciiTheme="minorHAnsi" w:eastAsiaTheme="majorEastAsia" w:hAnsiTheme="minorHAnsi" w:cstheme="majorBidi"/>
      <w:color w:val="0F4761" w:themeColor="accent1" w:themeShade="BF"/>
      <w:sz w:val="28"/>
      <w:szCs w:val="28"/>
    </w:rPr>
  </w:style>
  <w:style w:type="character" w:customStyle="1" w:styleId="40">
    <w:name w:val="見出し 4 (文字)"/>
    <w:basedOn w:val="a0"/>
    <w:link w:val="4"/>
    <w:uiPriority w:val="9"/>
    <w:semiHidden/>
    <w:rsid w:val="00BA5B2B"/>
    <w:rPr>
      <w:rFonts w:asciiTheme="minorHAnsi" w:eastAsiaTheme="majorEastAsia" w:hAnsiTheme="minorHAnsi" w:cstheme="majorBidi"/>
      <w:i/>
      <w:iCs/>
      <w:color w:val="0F4761" w:themeColor="accent1" w:themeShade="BF"/>
    </w:rPr>
  </w:style>
  <w:style w:type="character" w:customStyle="1" w:styleId="50">
    <w:name w:val="見出し 5 (文字)"/>
    <w:basedOn w:val="a0"/>
    <w:link w:val="5"/>
    <w:uiPriority w:val="9"/>
    <w:semiHidden/>
    <w:rsid w:val="00BA5B2B"/>
    <w:rPr>
      <w:rFonts w:asciiTheme="minorHAnsi" w:eastAsiaTheme="majorEastAsia" w:hAnsiTheme="minorHAnsi" w:cstheme="majorBidi"/>
      <w:color w:val="0F4761" w:themeColor="accent1" w:themeShade="BF"/>
    </w:rPr>
  </w:style>
  <w:style w:type="character" w:customStyle="1" w:styleId="60">
    <w:name w:val="見出し 6 (文字)"/>
    <w:basedOn w:val="a0"/>
    <w:link w:val="6"/>
    <w:uiPriority w:val="9"/>
    <w:semiHidden/>
    <w:rsid w:val="00BA5B2B"/>
    <w:rPr>
      <w:rFonts w:asciiTheme="minorHAnsi" w:eastAsiaTheme="majorEastAsia" w:hAnsiTheme="minorHAnsi" w:cstheme="majorBidi"/>
      <w:i/>
      <w:iCs/>
      <w:color w:val="595959" w:themeColor="text1" w:themeTint="A6"/>
    </w:rPr>
  </w:style>
  <w:style w:type="character" w:customStyle="1" w:styleId="70">
    <w:name w:val="見出し 7 (文字)"/>
    <w:basedOn w:val="a0"/>
    <w:link w:val="7"/>
    <w:uiPriority w:val="9"/>
    <w:semiHidden/>
    <w:rsid w:val="00BA5B2B"/>
    <w:rPr>
      <w:rFonts w:asciiTheme="minorHAnsi" w:eastAsiaTheme="majorEastAsia" w:hAnsiTheme="minorHAnsi" w:cstheme="majorBidi"/>
      <w:color w:val="595959" w:themeColor="text1" w:themeTint="A6"/>
    </w:rPr>
  </w:style>
  <w:style w:type="character" w:customStyle="1" w:styleId="80">
    <w:name w:val="見出し 8 (文字)"/>
    <w:basedOn w:val="a0"/>
    <w:link w:val="8"/>
    <w:uiPriority w:val="9"/>
    <w:semiHidden/>
    <w:rsid w:val="00BA5B2B"/>
    <w:rPr>
      <w:rFonts w:asciiTheme="minorHAnsi" w:eastAsiaTheme="majorEastAsia" w:hAnsiTheme="minorHAnsi" w:cstheme="majorBidi"/>
      <w:i/>
      <w:iCs/>
      <w:color w:val="272727" w:themeColor="text1" w:themeTint="D8"/>
    </w:rPr>
  </w:style>
  <w:style w:type="character" w:customStyle="1" w:styleId="90">
    <w:name w:val="見出し 9 (文字)"/>
    <w:basedOn w:val="a0"/>
    <w:link w:val="9"/>
    <w:uiPriority w:val="9"/>
    <w:semiHidden/>
    <w:rsid w:val="00BA5B2B"/>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BA5B2B"/>
    <w:pPr>
      <w:spacing w:after="80"/>
      <w:contextualSpacing/>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A5B2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5B2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題 (文字)"/>
    <w:basedOn w:val="a0"/>
    <w:link w:val="a5"/>
    <w:uiPriority w:val="11"/>
    <w:rsid w:val="00BA5B2B"/>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BA5B2B"/>
    <w:pPr>
      <w:spacing w:before="160" w:after="160"/>
      <w:jc w:val="center"/>
    </w:pPr>
    <w:rPr>
      <w:i/>
      <w:iCs/>
      <w:color w:val="404040" w:themeColor="text1" w:themeTint="BF"/>
    </w:rPr>
  </w:style>
  <w:style w:type="character" w:customStyle="1" w:styleId="a8">
    <w:name w:val="引用文 (文字)"/>
    <w:basedOn w:val="a0"/>
    <w:link w:val="a7"/>
    <w:uiPriority w:val="29"/>
    <w:rsid w:val="00BA5B2B"/>
    <w:rPr>
      <w:i/>
      <w:iCs/>
      <w:color w:val="404040" w:themeColor="text1" w:themeTint="BF"/>
    </w:rPr>
  </w:style>
  <w:style w:type="paragraph" w:styleId="a9">
    <w:name w:val="List Paragraph"/>
    <w:basedOn w:val="a"/>
    <w:uiPriority w:val="34"/>
    <w:qFormat/>
    <w:rsid w:val="00BA5B2B"/>
    <w:pPr>
      <w:ind w:left="720"/>
      <w:contextualSpacing/>
    </w:pPr>
  </w:style>
  <w:style w:type="character" w:styleId="21">
    <w:name w:val="Intense Emphasis"/>
    <w:basedOn w:val="a0"/>
    <w:uiPriority w:val="21"/>
    <w:qFormat/>
    <w:rsid w:val="00BA5B2B"/>
    <w:rPr>
      <w:i/>
      <w:iCs/>
      <w:color w:val="0F4761" w:themeColor="accent1" w:themeShade="BF"/>
    </w:rPr>
  </w:style>
  <w:style w:type="paragraph" w:styleId="22">
    <w:name w:val="Intense Quote"/>
    <w:basedOn w:val="a"/>
    <w:next w:val="a"/>
    <w:link w:val="23"/>
    <w:uiPriority w:val="30"/>
    <w:qFormat/>
    <w:rsid w:val="00BA5B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A5B2B"/>
    <w:rPr>
      <w:i/>
      <w:iCs/>
      <w:color w:val="0F4761" w:themeColor="accent1" w:themeShade="BF"/>
    </w:rPr>
  </w:style>
  <w:style w:type="character" w:styleId="24">
    <w:name w:val="Intense Reference"/>
    <w:basedOn w:val="a0"/>
    <w:uiPriority w:val="32"/>
    <w:qFormat/>
    <w:rsid w:val="00BA5B2B"/>
    <w:rPr>
      <w:b/>
      <w:bCs/>
      <w:smallCaps/>
      <w:color w:val="0F4761" w:themeColor="accent1" w:themeShade="BF"/>
      <w:spacing w:val="5"/>
    </w:rPr>
  </w:style>
  <w:style w:type="paragraph" w:styleId="aa">
    <w:name w:val="footer"/>
    <w:basedOn w:val="a"/>
    <w:link w:val="ab"/>
    <w:uiPriority w:val="99"/>
    <w:unhideWhenUsed/>
    <w:rsid w:val="000F17D1"/>
    <w:pPr>
      <w:tabs>
        <w:tab w:val="center" w:pos="4513"/>
        <w:tab w:val="right" w:pos="9026"/>
      </w:tabs>
    </w:pPr>
  </w:style>
  <w:style w:type="character" w:customStyle="1" w:styleId="ab">
    <w:name w:val="フッター (文字)"/>
    <w:basedOn w:val="a0"/>
    <w:link w:val="aa"/>
    <w:uiPriority w:val="99"/>
    <w:rsid w:val="000F17D1"/>
  </w:style>
  <w:style w:type="character" w:styleId="ac">
    <w:name w:val="page number"/>
    <w:basedOn w:val="a0"/>
    <w:uiPriority w:val="99"/>
    <w:semiHidden/>
    <w:unhideWhenUsed/>
    <w:rsid w:val="000F17D1"/>
  </w:style>
  <w:style w:type="character" w:styleId="ad">
    <w:name w:val="Hyperlink"/>
    <w:basedOn w:val="a0"/>
    <w:uiPriority w:val="99"/>
    <w:unhideWhenUsed/>
    <w:rsid w:val="00085359"/>
    <w:rPr>
      <w:color w:val="467886"/>
      <w:u w:val="single"/>
    </w:rPr>
  </w:style>
  <w:style w:type="character" w:styleId="ae">
    <w:name w:val="Unresolved Mention"/>
    <w:basedOn w:val="a0"/>
    <w:uiPriority w:val="99"/>
    <w:semiHidden/>
    <w:unhideWhenUsed/>
    <w:rsid w:val="00085359"/>
    <w:rPr>
      <w:color w:val="605E5C"/>
      <w:shd w:val="clear" w:color="auto" w:fill="E1DFDD"/>
    </w:rPr>
  </w:style>
  <w:style w:type="character" w:styleId="af">
    <w:name w:val="FollowedHyperlink"/>
    <w:basedOn w:val="a0"/>
    <w:uiPriority w:val="99"/>
    <w:semiHidden/>
    <w:unhideWhenUsed/>
    <w:rsid w:val="00054D9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21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gov.sg/-/media/Corporate/Get-Involved/Enliven-Public-Spaces/Create-more-well-designed-spaces/URA-Creative-Hoarding-Guide.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nd.gov.sg/newsroom/parliament-matters/q-as/view/written-answer-by-ministry-of-national-development-on-update-on-status-of-ura-s-design-guidelines-and-good-practice-guide-for-creative-hoarding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sso.agc.gov.sg/SL/BCA1989-RG6?DocDate=20050901" TargetMode="External"/><Relationship Id="rId4" Type="http://schemas.openxmlformats.org/officeDocument/2006/relationships/webSettings" Target="webSettings.xml"/><Relationship Id="rId9" Type="http://schemas.openxmlformats.org/officeDocument/2006/relationships/hyperlink" Target="https://www.ura.gov.sg/Corporate/Guidelines/Circulars/dc09-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3</Pages>
  <Words>532</Words>
  <Characters>3036</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Siau Min Yang</dc:creator>
  <cp:keywords/>
  <dc:description/>
  <cp:lastModifiedBy>User</cp:lastModifiedBy>
  <cp:revision>11</cp:revision>
  <dcterms:created xsi:type="dcterms:W3CDTF">2025-03-27T04:11:00Z</dcterms:created>
  <dcterms:modified xsi:type="dcterms:W3CDTF">2025-06-16T02:36:00Z</dcterms:modified>
</cp:coreProperties>
</file>